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A43" w:rsidRPr="00EF6A43" w:rsidRDefault="00EF6A43" w:rsidP="00EF6A43">
      <w:pPr>
        <w:pStyle w:val="Tekstpodstawowy"/>
        <w:spacing w:after="0" w:line="276" w:lineRule="auto"/>
        <w:ind w:left="10206"/>
        <w:jc w:val="both"/>
        <w:rPr>
          <w:rFonts w:ascii="Arial" w:hAnsi="Arial" w:cs="Arial"/>
          <w:bCs/>
          <w:sz w:val="20"/>
          <w:szCs w:val="20"/>
        </w:rPr>
      </w:pPr>
      <w:r>
        <w:rPr>
          <w:rFonts w:ascii="Arial" w:hAnsi="Arial" w:cs="Arial"/>
          <w:bCs/>
          <w:sz w:val="20"/>
          <w:szCs w:val="20"/>
        </w:rPr>
        <w:t xml:space="preserve">Załącznik do Uchwały </w:t>
      </w:r>
      <w:r w:rsidRPr="000F49D1">
        <w:rPr>
          <w:rFonts w:ascii="Arial" w:hAnsi="Arial" w:cs="Arial"/>
          <w:bCs/>
          <w:sz w:val="20"/>
          <w:szCs w:val="20"/>
        </w:rPr>
        <w:t xml:space="preserve">Nr </w:t>
      </w:r>
      <w:r>
        <w:rPr>
          <w:rFonts w:ascii="Arial" w:hAnsi="Arial" w:cs="Arial"/>
          <w:bCs/>
          <w:sz w:val="20"/>
          <w:szCs w:val="20"/>
        </w:rPr>
        <w:t>…</w:t>
      </w:r>
      <w:r w:rsidRPr="000F49D1">
        <w:rPr>
          <w:rFonts w:ascii="Arial" w:hAnsi="Arial" w:cs="Arial"/>
          <w:bCs/>
          <w:sz w:val="20"/>
          <w:szCs w:val="20"/>
        </w:rPr>
        <w:t xml:space="preserve"> / </w:t>
      </w:r>
      <w:r>
        <w:rPr>
          <w:rFonts w:ascii="Arial" w:hAnsi="Arial" w:cs="Arial"/>
          <w:bCs/>
          <w:sz w:val="20"/>
          <w:szCs w:val="20"/>
        </w:rPr>
        <w:t>…. / 2016</w:t>
      </w:r>
    </w:p>
    <w:p w:rsidR="00EF6A43" w:rsidRDefault="00EF6A43" w:rsidP="00EF6A43">
      <w:pPr>
        <w:pStyle w:val="Tekstpodstawowy"/>
        <w:spacing w:after="0" w:line="276" w:lineRule="auto"/>
        <w:ind w:left="10206"/>
        <w:jc w:val="both"/>
        <w:rPr>
          <w:rFonts w:ascii="Arial" w:hAnsi="Arial" w:cs="Arial"/>
          <w:bCs/>
          <w:sz w:val="20"/>
          <w:szCs w:val="20"/>
        </w:rPr>
      </w:pPr>
      <w:r>
        <w:rPr>
          <w:rFonts w:ascii="Arial" w:hAnsi="Arial" w:cs="Arial"/>
          <w:bCs/>
          <w:sz w:val="20"/>
          <w:szCs w:val="20"/>
        </w:rPr>
        <w:t>Komitetu Monitorującego Regionalny Program Operacyjny Województwa Podkarpackiego na lata 2014-2020</w:t>
      </w:r>
      <w:r>
        <w:rPr>
          <w:rFonts w:ascii="Arial" w:hAnsi="Arial" w:cs="Arial"/>
          <w:bCs/>
          <w:sz w:val="20"/>
          <w:szCs w:val="20"/>
        </w:rPr>
        <w:br/>
        <w:t>z dnia ….. 2016 r.</w:t>
      </w:r>
    </w:p>
    <w:p w:rsidR="00CF1538" w:rsidRDefault="00CF1538" w:rsidP="00CF1538">
      <w:pPr>
        <w:pStyle w:val="Nagwek3"/>
        <w:numPr>
          <w:ilvl w:val="0"/>
          <w:numId w:val="0"/>
        </w:numPr>
        <w:spacing w:before="0" w:after="0" w:line="240" w:lineRule="auto"/>
        <w:jc w:val="both"/>
        <w:rPr>
          <w:rFonts w:cs="Arial"/>
          <w:b w:val="0"/>
          <w:sz w:val="20"/>
          <w:szCs w:val="20"/>
          <w:lang w:val="pl-PL" w:eastAsia="en-US"/>
        </w:rPr>
      </w:pPr>
      <w:bookmarkStart w:id="0" w:name="_Toc450292644"/>
    </w:p>
    <w:p w:rsidR="00CF1538" w:rsidRDefault="00CF1538" w:rsidP="00CF1538">
      <w:pPr>
        <w:pStyle w:val="Nagwek3"/>
        <w:numPr>
          <w:ilvl w:val="0"/>
          <w:numId w:val="0"/>
        </w:numPr>
        <w:spacing w:before="0" w:after="0" w:line="240" w:lineRule="auto"/>
        <w:jc w:val="both"/>
        <w:rPr>
          <w:sz w:val="28"/>
          <w:szCs w:val="28"/>
        </w:rPr>
      </w:pPr>
      <w:bookmarkStart w:id="1" w:name="_GoBack"/>
      <w:bookmarkEnd w:id="1"/>
      <w:r w:rsidRPr="00FB6F5D">
        <w:rPr>
          <w:sz w:val="28"/>
          <w:szCs w:val="28"/>
        </w:rPr>
        <w:t>Specyficzne kryteria wyboru projektów konkursowych w ramach</w:t>
      </w:r>
      <w:r>
        <w:rPr>
          <w:sz w:val="28"/>
          <w:szCs w:val="28"/>
        </w:rPr>
        <w:t xml:space="preserve"> działania 7.5 – </w:t>
      </w:r>
      <w:r>
        <w:rPr>
          <w:sz w:val="28"/>
          <w:szCs w:val="28"/>
          <w:lang w:val="pl-PL"/>
        </w:rPr>
        <w:t xml:space="preserve"> Rozwój kompetencji pracowników sektora MŚP </w:t>
      </w:r>
      <w:r w:rsidRPr="00FB6F5D">
        <w:rPr>
          <w:sz w:val="28"/>
          <w:szCs w:val="28"/>
        </w:rPr>
        <w:t xml:space="preserve">w zakresie VII osi priorytetowej Regionalnego Programu Operacyjnego Województwa Podkarpackiego na lata 2014-2020 – </w:t>
      </w:r>
      <w:r w:rsidRPr="00B642D8">
        <w:rPr>
          <w:i/>
          <w:sz w:val="28"/>
          <w:szCs w:val="28"/>
        </w:rPr>
        <w:t>Regionalny rynek pracy</w:t>
      </w:r>
      <w:r>
        <w:rPr>
          <w:sz w:val="28"/>
          <w:szCs w:val="28"/>
        </w:rPr>
        <w:t>.</w:t>
      </w:r>
      <w:bookmarkEnd w:id="0"/>
    </w:p>
    <w:p w:rsidR="00CF1538" w:rsidRPr="004A149C" w:rsidRDefault="00CF1538" w:rsidP="00CF1538">
      <w:pPr>
        <w:rPr>
          <w:lang w:eastAsia="pl-PL"/>
        </w:rPr>
      </w:pPr>
    </w:p>
    <w:p w:rsidR="00CF1538" w:rsidRPr="00473D67" w:rsidRDefault="00CF1538" w:rsidP="00CF1538">
      <w:pPr>
        <w:spacing w:after="0"/>
        <w:rPr>
          <w:rFonts w:ascii="Arial" w:hAnsi="Arial" w:cs="Arial"/>
          <w:b/>
          <w:bCs/>
          <w:sz w:val="28"/>
          <w:szCs w:val="28"/>
        </w:rPr>
      </w:pPr>
      <w:r>
        <w:rPr>
          <w:rFonts w:ascii="Arial" w:hAnsi="Arial" w:cs="Arial"/>
          <w:b/>
          <w:bCs/>
          <w:sz w:val="28"/>
          <w:szCs w:val="28"/>
        </w:rPr>
        <w:t>Ocena formalna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4496"/>
        <w:gridCol w:w="6159"/>
        <w:gridCol w:w="2781"/>
      </w:tblGrid>
      <w:tr w:rsidR="00CF1538" w:rsidRPr="004A149C" w:rsidTr="007566C4">
        <w:trPr>
          <w:trHeight w:val="628"/>
        </w:trPr>
        <w:tc>
          <w:tcPr>
            <w:tcW w:w="13994" w:type="dxa"/>
            <w:gridSpan w:val="4"/>
            <w:tcBorders>
              <w:bottom w:val="single" w:sz="4" w:space="0" w:color="auto"/>
            </w:tcBorders>
            <w:shd w:val="clear" w:color="auto" w:fill="BFBFBF"/>
            <w:vAlign w:val="center"/>
          </w:tcPr>
          <w:p w:rsidR="00CF1538" w:rsidRPr="004A149C" w:rsidRDefault="00CF1538" w:rsidP="007566C4">
            <w:pPr>
              <w:spacing w:after="0" w:line="240" w:lineRule="auto"/>
              <w:jc w:val="center"/>
              <w:rPr>
                <w:rFonts w:ascii="Arial" w:eastAsia="PMingLiU" w:hAnsi="Arial" w:cs="Arial"/>
                <w:b/>
                <w:lang w:eastAsia="zh-TW"/>
              </w:rPr>
            </w:pPr>
            <w:r w:rsidRPr="004A149C">
              <w:rPr>
                <w:rFonts w:ascii="Arial" w:eastAsia="Times New Roman" w:hAnsi="Arial" w:cs="Arial"/>
                <w:b/>
                <w:bCs/>
                <w:lang w:eastAsia="zh-TW"/>
              </w:rPr>
              <w:t xml:space="preserve">KRYTERIA SPECYFICZNE DLA OP </w:t>
            </w:r>
            <w:r w:rsidRPr="004A149C">
              <w:rPr>
                <w:rFonts w:ascii="Arial" w:eastAsia="Times New Roman" w:hAnsi="Arial" w:cs="Arial"/>
                <w:b/>
                <w:lang w:eastAsia="zh-TW"/>
              </w:rPr>
              <w:t>VII. REGIONALNY RYNEK PRACY</w:t>
            </w:r>
          </w:p>
        </w:tc>
      </w:tr>
      <w:tr w:rsidR="00CF1538" w:rsidRPr="004A149C" w:rsidTr="007566C4">
        <w:trPr>
          <w:trHeight w:val="628"/>
        </w:trPr>
        <w:tc>
          <w:tcPr>
            <w:tcW w:w="13994" w:type="dxa"/>
            <w:gridSpan w:val="4"/>
            <w:tcBorders>
              <w:bottom w:val="single" w:sz="4" w:space="0" w:color="auto"/>
            </w:tcBorders>
            <w:shd w:val="clear" w:color="auto" w:fill="BFBFBF"/>
            <w:vAlign w:val="center"/>
          </w:tcPr>
          <w:p w:rsidR="00CF1538" w:rsidRPr="004A149C" w:rsidRDefault="00CF1538" w:rsidP="007566C4">
            <w:pPr>
              <w:spacing w:after="0" w:line="240" w:lineRule="auto"/>
              <w:jc w:val="center"/>
              <w:rPr>
                <w:rFonts w:ascii="Arial" w:eastAsia="PMingLiU" w:hAnsi="Arial" w:cs="Arial"/>
                <w:b/>
                <w:bCs/>
                <w:lang w:eastAsia="zh-TW"/>
              </w:rPr>
            </w:pPr>
            <w:r w:rsidRPr="004A149C">
              <w:rPr>
                <w:rFonts w:ascii="Arial" w:eastAsia="PMingLiU" w:hAnsi="Arial" w:cs="Arial"/>
                <w:b/>
                <w:lang w:eastAsia="zh-TW"/>
              </w:rPr>
              <w:t>Działanie 7.5  - ROZWÓJ KOMPETENCJI PRACOWNIKÓW SEKTORA MŚP</w:t>
            </w:r>
          </w:p>
        </w:tc>
      </w:tr>
      <w:tr w:rsidR="00CF1538" w:rsidRPr="004A149C" w:rsidTr="007566C4">
        <w:trPr>
          <w:trHeight w:val="552"/>
        </w:trPr>
        <w:tc>
          <w:tcPr>
            <w:tcW w:w="13994" w:type="dxa"/>
            <w:gridSpan w:val="4"/>
            <w:shd w:val="clear" w:color="auto" w:fill="F2F2F2"/>
            <w:vAlign w:val="center"/>
          </w:tcPr>
          <w:p w:rsidR="00CF1538" w:rsidRPr="004A149C" w:rsidRDefault="00CF1538" w:rsidP="007566C4">
            <w:pPr>
              <w:spacing w:after="0" w:line="240" w:lineRule="auto"/>
              <w:jc w:val="center"/>
              <w:rPr>
                <w:rFonts w:ascii="Arial" w:eastAsia="PMingLiU" w:hAnsi="Arial" w:cs="Arial"/>
                <w:lang w:eastAsia="zh-TW"/>
              </w:rPr>
            </w:pPr>
            <w:r w:rsidRPr="004A149C">
              <w:rPr>
                <w:rFonts w:ascii="Arial" w:eastAsia="PMingLiU" w:hAnsi="Arial" w:cs="Arial"/>
                <w:b/>
                <w:bCs/>
                <w:lang w:eastAsia="zh-TW"/>
              </w:rPr>
              <w:t>OCENA FORMALNA - Kryteria specyficzne dostępu</w:t>
            </w:r>
          </w:p>
        </w:tc>
      </w:tr>
      <w:tr w:rsidR="00CF1538" w:rsidRPr="004A149C" w:rsidTr="007566C4">
        <w:trPr>
          <w:trHeight w:val="545"/>
        </w:trPr>
        <w:tc>
          <w:tcPr>
            <w:tcW w:w="558" w:type="dxa"/>
          </w:tcPr>
          <w:p w:rsidR="00CF1538" w:rsidRPr="004A149C" w:rsidRDefault="00CF1538" w:rsidP="007566C4">
            <w:pPr>
              <w:spacing w:after="0" w:line="240" w:lineRule="auto"/>
              <w:rPr>
                <w:rFonts w:ascii="Arial" w:eastAsia="PMingLiU" w:hAnsi="Arial" w:cs="Arial"/>
                <w:lang w:eastAsia="zh-TW"/>
              </w:rPr>
            </w:pPr>
            <w:r w:rsidRPr="004A149C">
              <w:rPr>
                <w:rFonts w:ascii="Arial" w:eastAsia="PMingLiU" w:hAnsi="Arial" w:cs="Arial"/>
                <w:lang w:eastAsia="zh-TW"/>
              </w:rPr>
              <w:t>Lp.</w:t>
            </w:r>
          </w:p>
        </w:tc>
        <w:tc>
          <w:tcPr>
            <w:tcW w:w="4496" w:type="dxa"/>
            <w:vAlign w:val="center"/>
          </w:tcPr>
          <w:p w:rsidR="00CF1538" w:rsidRPr="004A149C" w:rsidRDefault="00CF1538" w:rsidP="007566C4">
            <w:pPr>
              <w:spacing w:after="0" w:line="240" w:lineRule="auto"/>
              <w:rPr>
                <w:rFonts w:ascii="Arial" w:eastAsia="PMingLiU" w:hAnsi="Arial" w:cs="Arial"/>
                <w:lang w:eastAsia="zh-TW"/>
              </w:rPr>
            </w:pPr>
            <w:r w:rsidRPr="004A149C">
              <w:rPr>
                <w:rFonts w:ascii="Arial" w:eastAsia="PMingLiU" w:hAnsi="Arial" w:cs="Arial"/>
                <w:lang w:eastAsia="zh-TW"/>
              </w:rPr>
              <w:t>Nazwa kryterium</w:t>
            </w:r>
          </w:p>
        </w:tc>
        <w:tc>
          <w:tcPr>
            <w:tcW w:w="6159" w:type="dxa"/>
            <w:vAlign w:val="center"/>
          </w:tcPr>
          <w:p w:rsidR="00CF1538" w:rsidRPr="004A149C" w:rsidRDefault="00CF1538" w:rsidP="007566C4">
            <w:pPr>
              <w:spacing w:after="0" w:line="240" w:lineRule="auto"/>
              <w:rPr>
                <w:rFonts w:ascii="Arial" w:eastAsia="PMingLiU" w:hAnsi="Arial" w:cs="Arial"/>
                <w:lang w:eastAsia="zh-TW"/>
              </w:rPr>
            </w:pPr>
            <w:r w:rsidRPr="004A149C">
              <w:rPr>
                <w:rFonts w:ascii="Arial" w:eastAsia="PMingLiU" w:hAnsi="Arial" w:cs="Arial"/>
                <w:lang w:eastAsia="zh-TW"/>
              </w:rPr>
              <w:t xml:space="preserve">Definicja / wyjaśnienie </w:t>
            </w:r>
          </w:p>
        </w:tc>
        <w:tc>
          <w:tcPr>
            <w:tcW w:w="2781" w:type="dxa"/>
            <w:vAlign w:val="center"/>
          </w:tcPr>
          <w:p w:rsidR="00CF1538" w:rsidRPr="004A149C" w:rsidRDefault="00CF1538" w:rsidP="007566C4">
            <w:pPr>
              <w:spacing w:after="0" w:line="240" w:lineRule="auto"/>
              <w:jc w:val="center"/>
              <w:rPr>
                <w:rFonts w:ascii="Arial" w:eastAsia="PMingLiU" w:hAnsi="Arial" w:cs="Arial"/>
                <w:b/>
                <w:lang w:eastAsia="zh-TW"/>
              </w:rPr>
            </w:pPr>
            <w:r w:rsidRPr="004A149C">
              <w:rPr>
                <w:rFonts w:ascii="Arial" w:eastAsia="PMingLiU" w:hAnsi="Arial" w:cs="Arial"/>
                <w:b/>
                <w:lang w:eastAsia="zh-TW"/>
              </w:rPr>
              <w:t>TAK/NIE/NIE DOTYCZY</w:t>
            </w:r>
          </w:p>
        </w:tc>
      </w:tr>
      <w:tr w:rsidR="00CF1538" w:rsidRPr="004A149C" w:rsidTr="007566C4">
        <w:tc>
          <w:tcPr>
            <w:tcW w:w="558" w:type="dxa"/>
          </w:tcPr>
          <w:p w:rsidR="00CF1538" w:rsidRPr="006C1556" w:rsidRDefault="00CF1538" w:rsidP="007566C4">
            <w:pPr>
              <w:spacing w:after="0" w:line="240" w:lineRule="auto"/>
              <w:ind w:right="34"/>
              <w:rPr>
                <w:rFonts w:ascii="Arial" w:eastAsia="PMingLiU" w:hAnsi="Arial" w:cs="Arial"/>
                <w:b/>
                <w:lang w:eastAsia="zh-TW"/>
              </w:rPr>
            </w:pPr>
            <w:r w:rsidRPr="006C1556">
              <w:rPr>
                <w:rFonts w:ascii="Arial" w:eastAsia="PMingLiU" w:hAnsi="Arial" w:cs="Arial"/>
                <w:b/>
                <w:lang w:eastAsia="zh-TW"/>
              </w:rPr>
              <w:t>1.</w:t>
            </w:r>
          </w:p>
        </w:tc>
        <w:tc>
          <w:tcPr>
            <w:tcW w:w="4496" w:type="dxa"/>
          </w:tcPr>
          <w:p w:rsidR="00CF1538" w:rsidRPr="004A149C" w:rsidRDefault="00CF1538" w:rsidP="007566C4">
            <w:pPr>
              <w:spacing w:after="0" w:line="240" w:lineRule="auto"/>
              <w:jc w:val="both"/>
              <w:rPr>
                <w:rFonts w:ascii="Arial" w:eastAsia="PMingLiU" w:hAnsi="Arial" w:cs="Arial"/>
                <w:b/>
                <w:lang w:eastAsia="zh-TW"/>
              </w:rPr>
            </w:pPr>
            <w:r w:rsidRPr="004A149C">
              <w:rPr>
                <w:rFonts w:ascii="Arial" w:eastAsia="PMingLiU" w:hAnsi="Arial" w:cs="Arial"/>
                <w:b/>
                <w:lang w:eastAsia="zh-TW"/>
              </w:rPr>
              <w:t>Projekt jest realizowany wyłącznie na terenie jednego z wymienionych poniżej subregionu, obejmującego wszystkie wymienione powiaty:</w:t>
            </w:r>
          </w:p>
          <w:p w:rsidR="00CF1538" w:rsidRPr="004A149C" w:rsidRDefault="00CF1538" w:rsidP="007566C4">
            <w:pPr>
              <w:spacing w:after="0" w:line="240" w:lineRule="auto"/>
              <w:jc w:val="both"/>
              <w:rPr>
                <w:rFonts w:ascii="Arial" w:eastAsia="PMingLiU" w:hAnsi="Arial" w:cs="Arial"/>
                <w:b/>
                <w:lang w:eastAsia="zh-TW"/>
              </w:rPr>
            </w:pPr>
            <w:r w:rsidRPr="004A149C">
              <w:rPr>
                <w:rFonts w:ascii="Arial" w:eastAsia="PMingLiU" w:hAnsi="Arial" w:cs="Arial"/>
                <w:b/>
                <w:lang w:eastAsia="zh-TW"/>
              </w:rPr>
              <w:br/>
              <w:t xml:space="preserve">1. subregion „SR” - rzeszowski grodzki, rzeszowski ziemski, dębicki, leżajski, łańcucki, ropczycko-sędziszowski. </w:t>
            </w:r>
          </w:p>
          <w:p w:rsidR="00CF1538" w:rsidRPr="004A149C" w:rsidRDefault="00CF1538" w:rsidP="007566C4">
            <w:pPr>
              <w:spacing w:after="0" w:line="240" w:lineRule="auto"/>
              <w:rPr>
                <w:rFonts w:ascii="Arial" w:eastAsia="PMingLiU" w:hAnsi="Arial" w:cs="Arial"/>
                <w:b/>
                <w:lang w:eastAsia="zh-TW"/>
              </w:rPr>
            </w:pPr>
            <w:r w:rsidRPr="004A149C">
              <w:rPr>
                <w:rFonts w:ascii="Arial" w:eastAsia="PMingLiU" w:hAnsi="Arial" w:cs="Arial"/>
                <w:b/>
                <w:lang w:eastAsia="zh-TW"/>
              </w:rPr>
              <w:br/>
              <w:t xml:space="preserve">2. subregion „SK” - krośnieński grodzki, krośnieński ziemski, jasielski, </w:t>
            </w:r>
            <w:r w:rsidRPr="004A149C">
              <w:rPr>
                <w:rFonts w:ascii="Arial" w:eastAsia="PMingLiU" w:hAnsi="Arial" w:cs="Arial"/>
                <w:b/>
                <w:lang w:eastAsia="zh-TW"/>
              </w:rPr>
              <w:lastRenderedPageBreak/>
              <w:t>brzozowski, sanocki, leski, bieszczadzki, strzyżowski.</w:t>
            </w:r>
          </w:p>
          <w:p w:rsidR="00CF1538" w:rsidRPr="004A149C" w:rsidRDefault="00CF1538" w:rsidP="007566C4">
            <w:pPr>
              <w:spacing w:after="0" w:line="240" w:lineRule="auto"/>
              <w:rPr>
                <w:rFonts w:ascii="Arial" w:eastAsia="PMingLiU" w:hAnsi="Arial" w:cs="Arial"/>
                <w:b/>
                <w:lang w:eastAsia="zh-TW"/>
              </w:rPr>
            </w:pPr>
            <w:r w:rsidRPr="004A149C">
              <w:rPr>
                <w:rFonts w:ascii="Arial" w:eastAsia="PMingLiU" w:hAnsi="Arial" w:cs="Arial"/>
                <w:b/>
                <w:lang w:eastAsia="zh-TW"/>
              </w:rPr>
              <w:br/>
              <w:t>3. subregion „SP” - przemyski grodzki, przemyski ziemski, jarosławski, lubaczowski, przeworski.</w:t>
            </w:r>
          </w:p>
          <w:p w:rsidR="00CF1538" w:rsidRPr="004A149C" w:rsidRDefault="00CF1538" w:rsidP="007566C4">
            <w:pPr>
              <w:spacing w:after="0" w:line="240" w:lineRule="auto"/>
              <w:rPr>
                <w:rFonts w:ascii="Arial" w:eastAsia="PMingLiU" w:hAnsi="Arial" w:cs="Arial"/>
                <w:lang w:eastAsia="zh-TW"/>
              </w:rPr>
            </w:pPr>
            <w:r w:rsidRPr="004A149C">
              <w:rPr>
                <w:rFonts w:ascii="Arial" w:eastAsia="PMingLiU" w:hAnsi="Arial" w:cs="Arial"/>
                <w:b/>
                <w:lang w:eastAsia="zh-TW"/>
              </w:rPr>
              <w:br/>
              <w:t>4. subregion „ST” -  tarnobrzeski grodzki, tarnobrzeski ziemski, stalowowolski, mielecki, niżański, kolbuszowski.</w:t>
            </w:r>
          </w:p>
        </w:tc>
        <w:tc>
          <w:tcPr>
            <w:tcW w:w="6159" w:type="dxa"/>
          </w:tcPr>
          <w:p w:rsidR="00CF1538" w:rsidRPr="004A149C" w:rsidRDefault="00CF1538" w:rsidP="007566C4">
            <w:pPr>
              <w:spacing w:line="240" w:lineRule="auto"/>
              <w:jc w:val="both"/>
              <w:rPr>
                <w:rFonts w:ascii="Arial" w:eastAsia="PMingLiU" w:hAnsi="Arial" w:cs="Arial"/>
                <w:lang w:eastAsia="zh-TW"/>
              </w:rPr>
            </w:pPr>
            <w:r w:rsidRPr="004A149C">
              <w:rPr>
                <w:rFonts w:ascii="Arial" w:eastAsia="PMingLiU" w:hAnsi="Arial" w:cs="Arial"/>
                <w:lang w:eastAsia="zh-TW"/>
              </w:rPr>
              <w:lastRenderedPageBreak/>
              <w:t xml:space="preserve">Podział wsparcia na przedmiotowe subregiony jest zbliżony do podziału administracyjnego z lat 1975 - 1998 (obszary: rzeszowski, krośnieński, przemyski, tarnobrzeski), co ułatwi dostęp przedsiębiorców, którzy prowadzą działalność w poszczególnych regionach, do beneficjentów (operatorów) realizujących projekt na terenie danego subregionu woj. podkarpackiego. Realizowanie planowanego wsparcia na terenie poszczególnych subregionów (przez podmioty od siebie niezależne) zminimalizuje ryzyko nieosiągnięcia wskaźników, które może się pojawić, jeżeli jeden z beneficjentów (operatorów) zaprzestanie realizacji projektu.  </w:t>
            </w:r>
            <w:r w:rsidRPr="004A149C">
              <w:rPr>
                <w:rFonts w:ascii="Arial" w:eastAsia="PMingLiU" w:hAnsi="Arial" w:cs="Arial"/>
                <w:lang w:eastAsia="zh-TW"/>
              </w:rPr>
              <w:lastRenderedPageBreak/>
              <w:t xml:space="preserve">Wstrzymanie wsparcia na terenie jednego z subregionów nie będzie skutkowało brakiem finansowania usług rozwojowych w pozostałej części województwa. </w:t>
            </w:r>
          </w:p>
          <w:p w:rsidR="00CF1538" w:rsidRPr="004A149C" w:rsidRDefault="00CF1538" w:rsidP="007566C4">
            <w:pPr>
              <w:spacing w:line="240" w:lineRule="auto"/>
              <w:jc w:val="both"/>
              <w:rPr>
                <w:rFonts w:ascii="Arial" w:eastAsia="PMingLiU" w:hAnsi="Arial" w:cs="Arial"/>
                <w:lang w:eastAsia="zh-TW"/>
              </w:rPr>
            </w:pPr>
            <w:r w:rsidRPr="004A149C">
              <w:rPr>
                <w:rFonts w:ascii="Arial" w:eastAsia="PMingLiU" w:hAnsi="Arial" w:cs="Arial"/>
                <w:lang w:eastAsia="zh-TW"/>
              </w:rPr>
              <w:t xml:space="preserve">Weryfikacja spełnienia kryterium będzie odbywać się na podstawie treści wniosku o dofinansowanie projektu. Zapisy świadczące o spełnieniu niniejszego kryterium będą weryfikowane na podstawie informacji, zawartych w punkcie 1.8 wniosku. </w:t>
            </w:r>
          </w:p>
          <w:p w:rsidR="00CF1538" w:rsidRPr="004A149C" w:rsidRDefault="00CF1538" w:rsidP="007566C4">
            <w:pPr>
              <w:spacing w:after="0" w:line="240" w:lineRule="auto"/>
              <w:jc w:val="both"/>
              <w:rPr>
                <w:rFonts w:ascii="Arial" w:eastAsia="PMingLiU" w:hAnsi="Arial" w:cs="Arial"/>
                <w:lang w:eastAsia="zh-TW"/>
              </w:rPr>
            </w:pPr>
          </w:p>
        </w:tc>
        <w:tc>
          <w:tcPr>
            <w:tcW w:w="2781" w:type="dxa"/>
            <w:vAlign w:val="center"/>
          </w:tcPr>
          <w:p w:rsidR="00CF1538" w:rsidRPr="004A149C" w:rsidRDefault="00CF1538" w:rsidP="007566C4">
            <w:pPr>
              <w:spacing w:after="0" w:line="240" w:lineRule="auto"/>
              <w:jc w:val="center"/>
              <w:rPr>
                <w:rFonts w:ascii="Arial" w:eastAsia="PMingLiU" w:hAnsi="Arial" w:cs="Arial"/>
                <w:b/>
                <w:lang w:eastAsia="zh-TW"/>
              </w:rPr>
            </w:pPr>
            <w:r w:rsidRPr="004A149C">
              <w:rPr>
                <w:rFonts w:ascii="Arial" w:eastAsia="PMingLiU" w:hAnsi="Arial" w:cs="Arial"/>
                <w:b/>
                <w:lang w:eastAsia="zh-TW"/>
              </w:rPr>
              <w:lastRenderedPageBreak/>
              <w:t>TAK/ NIE</w:t>
            </w:r>
          </w:p>
          <w:p w:rsidR="00CF1538" w:rsidRPr="004A149C" w:rsidRDefault="00CF1538" w:rsidP="007566C4">
            <w:pPr>
              <w:spacing w:after="0" w:line="240" w:lineRule="auto"/>
              <w:jc w:val="center"/>
              <w:rPr>
                <w:rFonts w:ascii="Arial" w:eastAsia="PMingLiU" w:hAnsi="Arial" w:cs="Arial"/>
                <w:b/>
                <w:lang w:eastAsia="zh-TW"/>
              </w:rPr>
            </w:pPr>
          </w:p>
          <w:p w:rsidR="00CF1538" w:rsidRPr="000042A1" w:rsidRDefault="00CF1538" w:rsidP="007566C4">
            <w:pPr>
              <w:spacing w:after="0" w:line="240" w:lineRule="auto"/>
              <w:jc w:val="center"/>
              <w:rPr>
                <w:rFonts w:ascii="Arial" w:eastAsia="PMingLiU" w:hAnsi="Arial" w:cs="Arial"/>
                <w:lang w:eastAsia="zh-TW"/>
              </w:rPr>
            </w:pPr>
            <w:r w:rsidRPr="000042A1">
              <w:rPr>
                <w:rFonts w:ascii="Arial" w:eastAsia="PMingLiU" w:hAnsi="Arial" w:cs="Arial"/>
                <w:lang w:eastAsia="zh-TW"/>
              </w:rPr>
              <w:t>Niespełnienie kryterium skutkuje odrzuceniem wniosku</w:t>
            </w:r>
          </w:p>
        </w:tc>
      </w:tr>
      <w:tr w:rsidR="00CF1538" w:rsidRPr="004A149C" w:rsidTr="007566C4">
        <w:tc>
          <w:tcPr>
            <w:tcW w:w="558" w:type="dxa"/>
          </w:tcPr>
          <w:p w:rsidR="00CF1538" w:rsidRPr="006C1556" w:rsidRDefault="00CF1538" w:rsidP="007566C4">
            <w:pPr>
              <w:spacing w:after="0" w:line="240" w:lineRule="auto"/>
              <w:ind w:right="34"/>
              <w:rPr>
                <w:rFonts w:ascii="Arial" w:eastAsia="PMingLiU" w:hAnsi="Arial" w:cs="Arial"/>
                <w:b/>
                <w:lang w:eastAsia="zh-TW"/>
              </w:rPr>
            </w:pPr>
            <w:r w:rsidRPr="006C1556">
              <w:rPr>
                <w:rFonts w:ascii="Arial" w:eastAsia="PMingLiU" w:hAnsi="Arial" w:cs="Arial"/>
                <w:b/>
                <w:lang w:eastAsia="zh-TW"/>
              </w:rPr>
              <w:lastRenderedPageBreak/>
              <w:t>2.</w:t>
            </w:r>
          </w:p>
        </w:tc>
        <w:tc>
          <w:tcPr>
            <w:tcW w:w="4496" w:type="dxa"/>
          </w:tcPr>
          <w:p w:rsidR="00CF1538" w:rsidRPr="004A149C" w:rsidRDefault="00CF1538" w:rsidP="007566C4">
            <w:pPr>
              <w:spacing w:after="0" w:line="240" w:lineRule="auto"/>
              <w:jc w:val="both"/>
              <w:rPr>
                <w:rFonts w:ascii="Arial" w:eastAsia="PMingLiU" w:hAnsi="Arial" w:cs="Arial"/>
                <w:b/>
                <w:lang w:eastAsia="zh-TW"/>
              </w:rPr>
            </w:pPr>
            <w:r w:rsidRPr="004A149C">
              <w:rPr>
                <w:rFonts w:ascii="Arial" w:eastAsia="PMingLiU" w:hAnsi="Arial" w:cs="Arial"/>
                <w:b/>
                <w:lang w:eastAsia="zh-TW"/>
              </w:rPr>
              <w:t>Minimalna wielkość grupy docelowej projektu (przedsiębiorstw i pracowników objętych usługami rozwojowymi w programie) realizowanego danym subregionie wynosi dla:</w:t>
            </w:r>
          </w:p>
          <w:p w:rsidR="00CF1538" w:rsidRPr="004A149C" w:rsidRDefault="00CF1538" w:rsidP="007566C4">
            <w:pPr>
              <w:spacing w:after="0" w:line="240" w:lineRule="auto"/>
              <w:rPr>
                <w:rFonts w:ascii="Arial" w:eastAsia="PMingLiU" w:hAnsi="Arial" w:cs="Arial"/>
                <w:b/>
                <w:lang w:eastAsia="zh-TW"/>
              </w:rPr>
            </w:pPr>
            <w:r w:rsidRPr="004A149C">
              <w:rPr>
                <w:rFonts w:ascii="Arial" w:eastAsia="PMingLiU" w:hAnsi="Arial" w:cs="Arial"/>
                <w:b/>
                <w:lang w:eastAsia="zh-TW"/>
              </w:rPr>
              <w:t>1. subregion „SR” – 375 przedsiębiorstw, w tym minimum 1 049 osób;</w:t>
            </w:r>
          </w:p>
          <w:p w:rsidR="00CF1538" w:rsidRPr="004A149C" w:rsidRDefault="00CF1538" w:rsidP="007566C4">
            <w:pPr>
              <w:spacing w:after="0" w:line="240" w:lineRule="auto"/>
              <w:rPr>
                <w:rFonts w:ascii="Arial" w:eastAsia="PMingLiU" w:hAnsi="Arial" w:cs="Arial"/>
                <w:b/>
                <w:lang w:eastAsia="zh-TW"/>
              </w:rPr>
            </w:pPr>
            <w:r w:rsidRPr="004A149C">
              <w:rPr>
                <w:rFonts w:ascii="Arial" w:eastAsia="PMingLiU" w:hAnsi="Arial" w:cs="Arial"/>
                <w:b/>
                <w:lang w:eastAsia="zh-TW"/>
              </w:rPr>
              <w:br/>
              <w:t>2. subregion „SK” – 249 przedsiębiorstw, w tym minimum 695 osób;</w:t>
            </w:r>
          </w:p>
          <w:p w:rsidR="00CF1538" w:rsidRPr="004A149C" w:rsidRDefault="00CF1538" w:rsidP="007566C4">
            <w:pPr>
              <w:spacing w:after="0" w:line="240" w:lineRule="auto"/>
              <w:rPr>
                <w:rFonts w:ascii="Arial" w:eastAsia="PMingLiU" w:hAnsi="Arial" w:cs="Arial"/>
                <w:b/>
                <w:lang w:eastAsia="zh-TW"/>
              </w:rPr>
            </w:pPr>
            <w:r w:rsidRPr="004A149C">
              <w:rPr>
                <w:rFonts w:ascii="Arial" w:eastAsia="PMingLiU" w:hAnsi="Arial" w:cs="Arial"/>
                <w:b/>
                <w:lang w:eastAsia="zh-TW"/>
              </w:rPr>
              <w:br/>
              <w:t>3. subregion „SP” – 163 przedsiębiorstwa, w tym minimum 456 osób;</w:t>
            </w:r>
          </w:p>
          <w:p w:rsidR="00CF1538" w:rsidRPr="004A149C" w:rsidRDefault="00CF1538" w:rsidP="007566C4">
            <w:pPr>
              <w:spacing w:after="0" w:line="240" w:lineRule="auto"/>
              <w:rPr>
                <w:rFonts w:ascii="Arial" w:eastAsia="PMingLiU" w:hAnsi="Arial" w:cs="Arial"/>
                <w:lang w:eastAsia="zh-TW"/>
              </w:rPr>
            </w:pPr>
            <w:r w:rsidRPr="004A149C">
              <w:rPr>
                <w:rFonts w:ascii="Arial" w:eastAsia="PMingLiU" w:hAnsi="Arial" w:cs="Arial"/>
                <w:b/>
                <w:lang w:eastAsia="zh-TW"/>
              </w:rPr>
              <w:br/>
              <w:t>4. subregion „ST” - 217 przedsiębiorstw, w tym minimum 605 osób</w:t>
            </w:r>
            <w:r w:rsidRPr="004A149C">
              <w:rPr>
                <w:rFonts w:ascii="Arial" w:eastAsia="PMingLiU" w:hAnsi="Arial" w:cs="Arial"/>
                <w:lang w:eastAsia="zh-TW"/>
              </w:rPr>
              <w:t>.</w:t>
            </w:r>
          </w:p>
        </w:tc>
        <w:tc>
          <w:tcPr>
            <w:tcW w:w="6159" w:type="dxa"/>
          </w:tcPr>
          <w:p w:rsidR="00CF1538" w:rsidRPr="004A149C" w:rsidRDefault="00CF1538" w:rsidP="007566C4">
            <w:pPr>
              <w:spacing w:after="0" w:line="240" w:lineRule="auto"/>
              <w:jc w:val="both"/>
              <w:rPr>
                <w:rFonts w:ascii="Arial" w:eastAsia="PMingLiU" w:hAnsi="Arial" w:cs="Arial"/>
                <w:lang w:eastAsia="zh-TW"/>
              </w:rPr>
            </w:pPr>
            <w:r w:rsidRPr="004A149C">
              <w:rPr>
                <w:rFonts w:ascii="Arial" w:eastAsia="PMingLiU" w:hAnsi="Arial" w:cs="Arial"/>
                <w:lang w:eastAsia="zh-TW"/>
              </w:rPr>
              <w:t xml:space="preserve">Wskazana liczba przedsiębiorstw i pracowników w poszczególnych subregionach określone zostały na podstawie analizy, dotyczącej liczby podmiotów funkcjonujących w poszczególnych powiatach województwa (dane GUS na koniec 2015 r.). Kryterium takie związane jest z koniecznością realizacji wskaźników, określonych w ramach RPO WP 2014-2020. W związku z powyższym założono odpowiednie wartości, bezpośrednio wynikające z danych GUS. Przedstawiona struktura ułatwi beneficjentom (operatorom) konstruowanie wniosku oraz przygotowanie harmonogramów planowanego wsparcia. </w:t>
            </w:r>
          </w:p>
          <w:p w:rsidR="00CF1538" w:rsidRPr="004A149C" w:rsidRDefault="00CF1538" w:rsidP="007566C4">
            <w:pPr>
              <w:spacing w:after="0" w:line="240" w:lineRule="auto"/>
              <w:jc w:val="both"/>
              <w:rPr>
                <w:rFonts w:ascii="Arial" w:eastAsia="PMingLiU" w:hAnsi="Arial" w:cs="Arial"/>
                <w:lang w:eastAsia="zh-TW"/>
              </w:rPr>
            </w:pPr>
          </w:p>
          <w:p w:rsidR="00CF1538" w:rsidRPr="004A149C" w:rsidRDefault="00CF1538" w:rsidP="007566C4">
            <w:pPr>
              <w:spacing w:line="240" w:lineRule="auto"/>
              <w:jc w:val="both"/>
              <w:rPr>
                <w:rFonts w:ascii="Arial" w:eastAsia="PMingLiU" w:hAnsi="Arial" w:cs="Arial"/>
                <w:lang w:eastAsia="zh-TW"/>
              </w:rPr>
            </w:pPr>
            <w:r w:rsidRPr="004A149C">
              <w:rPr>
                <w:rFonts w:ascii="Arial" w:eastAsia="PMingLiU" w:hAnsi="Arial" w:cs="Arial"/>
                <w:lang w:eastAsia="zh-TW"/>
              </w:rPr>
              <w:t>Weryfikacja spełnienia kryterium będzie odbywać się na podstawie treści wniosku o dofinansowanie projektu. Zaleca się, aby zapisy świadczące o spełnieniu niniejszego kryterium zostały zawarte w punkcie 3.1.1 wniosku.</w:t>
            </w:r>
          </w:p>
          <w:p w:rsidR="00CF1538" w:rsidRPr="004A149C" w:rsidRDefault="00CF1538" w:rsidP="007566C4">
            <w:pPr>
              <w:spacing w:after="0" w:line="240" w:lineRule="auto"/>
              <w:jc w:val="both"/>
              <w:rPr>
                <w:rFonts w:ascii="Arial" w:eastAsia="PMingLiU" w:hAnsi="Arial" w:cs="Arial"/>
                <w:lang w:eastAsia="zh-TW"/>
              </w:rPr>
            </w:pPr>
          </w:p>
        </w:tc>
        <w:tc>
          <w:tcPr>
            <w:tcW w:w="2781" w:type="dxa"/>
            <w:vAlign w:val="center"/>
          </w:tcPr>
          <w:p w:rsidR="00CF1538" w:rsidRPr="004A149C" w:rsidRDefault="00CF1538" w:rsidP="007566C4">
            <w:pPr>
              <w:spacing w:after="0" w:line="240" w:lineRule="auto"/>
              <w:jc w:val="center"/>
              <w:rPr>
                <w:rFonts w:ascii="Arial" w:eastAsia="PMingLiU" w:hAnsi="Arial" w:cs="Arial"/>
                <w:b/>
                <w:lang w:eastAsia="zh-TW"/>
              </w:rPr>
            </w:pPr>
            <w:r w:rsidRPr="004A149C">
              <w:rPr>
                <w:rFonts w:ascii="Arial" w:eastAsia="PMingLiU" w:hAnsi="Arial" w:cs="Arial"/>
                <w:b/>
                <w:lang w:eastAsia="zh-TW"/>
              </w:rPr>
              <w:t>TAK/ NIE</w:t>
            </w:r>
          </w:p>
          <w:p w:rsidR="00CF1538" w:rsidRPr="004A149C" w:rsidRDefault="00CF1538" w:rsidP="007566C4">
            <w:pPr>
              <w:spacing w:after="0" w:line="240" w:lineRule="auto"/>
              <w:jc w:val="center"/>
              <w:rPr>
                <w:rFonts w:ascii="Arial" w:eastAsia="PMingLiU" w:hAnsi="Arial" w:cs="Arial"/>
                <w:b/>
                <w:lang w:eastAsia="zh-TW"/>
              </w:rPr>
            </w:pPr>
          </w:p>
          <w:p w:rsidR="00CF1538" w:rsidRPr="000042A1" w:rsidRDefault="00CF1538" w:rsidP="007566C4">
            <w:pPr>
              <w:spacing w:after="0" w:line="240" w:lineRule="auto"/>
              <w:jc w:val="center"/>
              <w:rPr>
                <w:rFonts w:ascii="Arial" w:eastAsia="PMingLiU" w:hAnsi="Arial" w:cs="Arial"/>
                <w:lang w:eastAsia="zh-TW"/>
              </w:rPr>
            </w:pPr>
            <w:r w:rsidRPr="000042A1">
              <w:rPr>
                <w:rFonts w:ascii="Arial" w:eastAsia="PMingLiU" w:hAnsi="Arial" w:cs="Arial"/>
                <w:lang w:eastAsia="zh-TW"/>
              </w:rPr>
              <w:t>Niespełnienie kryterium skutkuje odrzuceniem wniosku</w:t>
            </w:r>
          </w:p>
        </w:tc>
      </w:tr>
      <w:tr w:rsidR="00CF1538" w:rsidRPr="004A149C" w:rsidTr="007566C4">
        <w:tc>
          <w:tcPr>
            <w:tcW w:w="558" w:type="dxa"/>
          </w:tcPr>
          <w:p w:rsidR="00CF1538" w:rsidRPr="006C1556" w:rsidRDefault="00CF1538" w:rsidP="007566C4">
            <w:pPr>
              <w:spacing w:after="0" w:line="240" w:lineRule="auto"/>
              <w:ind w:right="34"/>
              <w:rPr>
                <w:rFonts w:ascii="Arial" w:eastAsia="PMingLiU" w:hAnsi="Arial" w:cs="Arial"/>
                <w:b/>
                <w:lang w:eastAsia="zh-TW"/>
              </w:rPr>
            </w:pPr>
            <w:r w:rsidRPr="006C1556">
              <w:rPr>
                <w:rFonts w:ascii="Arial" w:eastAsia="PMingLiU" w:hAnsi="Arial" w:cs="Arial"/>
                <w:b/>
                <w:lang w:eastAsia="zh-TW"/>
              </w:rPr>
              <w:t>3.</w:t>
            </w:r>
          </w:p>
        </w:tc>
        <w:tc>
          <w:tcPr>
            <w:tcW w:w="4496" w:type="dxa"/>
          </w:tcPr>
          <w:p w:rsidR="00CF1538" w:rsidRPr="004A149C" w:rsidRDefault="00CF1538" w:rsidP="007566C4">
            <w:pPr>
              <w:spacing w:after="0" w:line="240" w:lineRule="auto"/>
              <w:jc w:val="both"/>
              <w:rPr>
                <w:rFonts w:ascii="Arial" w:eastAsia="PMingLiU" w:hAnsi="Arial" w:cs="Arial"/>
                <w:b/>
                <w:lang w:eastAsia="zh-TW"/>
              </w:rPr>
            </w:pPr>
            <w:r w:rsidRPr="004A149C">
              <w:rPr>
                <w:rFonts w:ascii="Arial" w:eastAsia="PMingLiU" w:hAnsi="Arial" w:cs="Arial"/>
                <w:b/>
                <w:lang w:eastAsia="zh-TW"/>
              </w:rPr>
              <w:t xml:space="preserve">W ramach grupy docelowej projektu, wsparcie obejmuje minimum; 62% samozatrudnionych i </w:t>
            </w:r>
            <w:r w:rsidRPr="004A149C">
              <w:rPr>
                <w:rFonts w:ascii="Arial" w:eastAsia="PMingLiU" w:hAnsi="Arial" w:cs="Arial"/>
                <w:b/>
                <w:lang w:eastAsia="zh-TW"/>
              </w:rPr>
              <w:lastRenderedPageBreak/>
              <w:t>mikroprzedsiębiorstw, oraz 28% małych przedsiębiorstw, tj.</w:t>
            </w:r>
          </w:p>
          <w:p w:rsidR="00CF1538" w:rsidRPr="004A149C" w:rsidRDefault="00CF1538" w:rsidP="007566C4">
            <w:pPr>
              <w:spacing w:after="0" w:line="240" w:lineRule="auto"/>
              <w:rPr>
                <w:rFonts w:ascii="Arial" w:eastAsia="PMingLiU" w:hAnsi="Arial" w:cs="Arial"/>
                <w:b/>
                <w:lang w:eastAsia="zh-TW"/>
              </w:rPr>
            </w:pPr>
          </w:p>
          <w:p w:rsidR="00CF1538" w:rsidRPr="004A149C" w:rsidRDefault="00CF1538" w:rsidP="007566C4">
            <w:pPr>
              <w:spacing w:after="0" w:line="240" w:lineRule="auto"/>
              <w:rPr>
                <w:rFonts w:ascii="Arial" w:eastAsia="PMingLiU" w:hAnsi="Arial" w:cs="Arial"/>
                <w:b/>
                <w:lang w:eastAsia="zh-TW"/>
              </w:rPr>
            </w:pPr>
            <w:r w:rsidRPr="004A149C">
              <w:rPr>
                <w:rFonts w:ascii="Arial" w:eastAsia="PMingLiU" w:hAnsi="Arial" w:cs="Arial"/>
                <w:b/>
                <w:lang w:eastAsia="zh-TW"/>
              </w:rPr>
              <w:t>1. subregion „SR”:</w:t>
            </w:r>
          </w:p>
          <w:p w:rsidR="00CF1538" w:rsidRPr="004A149C" w:rsidRDefault="00CF1538" w:rsidP="007566C4">
            <w:pPr>
              <w:spacing w:after="0" w:line="240" w:lineRule="auto"/>
              <w:rPr>
                <w:rFonts w:ascii="Arial" w:eastAsia="PMingLiU" w:hAnsi="Arial" w:cs="Arial"/>
                <w:b/>
                <w:lang w:eastAsia="zh-TW"/>
              </w:rPr>
            </w:pPr>
            <w:r w:rsidRPr="004A149C">
              <w:rPr>
                <w:rFonts w:ascii="Arial" w:eastAsia="PMingLiU" w:hAnsi="Arial" w:cs="Arial"/>
                <w:b/>
                <w:lang w:eastAsia="zh-TW"/>
              </w:rPr>
              <w:t xml:space="preserve">- samozatrudnieni i mikroprzedsiębiorstwa; 232 przedsiębiorstwa, </w:t>
            </w:r>
          </w:p>
          <w:p w:rsidR="00CF1538" w:rsidRPr="004A149C" w:rsidRDefault="00CF1538" w:rsidP="007566C4">
            <w:pPr>
              <w:spacing w:after="0" w:line="240" w:lineRule="auto"/>
              <w:rPr>
                <w:rFonts w:ascii="Arial" w:eastAsia="PMingLiU" w:hAnsi="Arial" w:cs="Arial"/>
                <w:b/>
                <w:lang w:eastAsia="zh-TW"/>
              </w:rPr>
            </w:pPr>
            <w:r w:rsidRPr="004A149C">
              <w:rPr>
                <w:rFonts w:ascii="Arial" w:eastAsia="PMingLiU" w:hAnsi="Arial" w:cs="Arial"/>
                <w:b/>
                <w:lang w:eastAsia="zh-TW"/>
              </w:rPr>
              <w:t>- małe przedsiębiorstwa; 105 przedsiębiorstw.</w:t>
            </w:r>
          </w:p>
          <w:p w:rsidR="00CF1538" w:rsidRPr="004A149C" w:rsidRDefault="00CF1538" w:rsidP="007566C4">
            <w:pPr>
              <w:spacing w:after="0" w:line="240" w:lineRule="auto"/>
              <w:rPr>
                <w:rFonts w:ascii="Arial" w:eastAsia="PMingLiU" w:hAnsi="Arial" w:cs="Arial"/>
                <w:b/>
                <w:lang w:eastAsia="zh-TW"/>
              </w:rPr>
            </w:pPr>
            <w:r w:rsidRPr="004A149C">
              <w:rPr>
                <w:rFonts w:ascii="Arial" w:eastAsia="PMingLiU" w:hAnsi="Arial" w:cs="Arial"/>
                <w:b/>
                <w:lang w:eastAsia="zh-TW"/>
              </w:rPr>
              <w:br/>
              <w:t>2. subregion „SK”:</w:t>
            </w:r>
          </w:p>
          <w:p w:rsidR="00CF1538" w:rsidRPr="004A149C" w:rsidRDefault="00CF1538" w:rsidP="007566C4">
            <w:pPr>
              <w:spacing w:after="0" w:line="240" w:lineRule="auto"/>
              <w:rPr>
                <w:rFonts w:ascii="Arial" w:eastAsia="PMingLiU" w:hAnsi="Arial" w:cs="Arial"/>
                <w:b/>
                <w:lang w:eastAsia="zh-TW"/>
              </w:rPr>
            </w:pPr>
            <w:r w:rsidRPr="004A149C">
              <w:rPr>
                <w:rFonts w:ascii="Arial" w:eastAsia="PMingLiU" w:hAnsi="Arial" w:cs="Arial"/>
                <w:b/>
                <w:lang w:eastAsia="zh-TW"/>
              </w:rPr>
              <w:t xml:space="preserve">- samozatrudnieni i mikroprzedsiębiorstwa; 154 przedsiębiorstw, </w:t>
            </w:r>
          </w:p>
          <w:p w:rsidR="00CF1538" w:rsidRPr="004A149C" w:rsidRDefault="00CF1538" w:rsidP="007566C4">
            <w:pPr>
              <w:spacing w:after="0" w:line="240" w:lineRule="auto"/>
              <w:rPr>
                <w:rFonts w:ascii="Arial" w:eastAsia="PMingLiU" w:hAnsi="Arial" w:cs="Arial"/>
                <w:b/>
                <w:lang w:eastAsia="zh-TW"/>
              </w:rPr>
            </w:pPr>
            <w:r w:rsidRPr="004A149C">
              <w:rPr>
                <w:rFonts w:ascii="Arial" w:eastAsia="PMingLiU" w:hAnsi="Arial" w:cs="Arial"/>
                <w:b/>
                <w:lang w:eastAsia="zh-TW"/>
              </w:rPr>
              <w:t>- małe przedsiębiorstwa; 70 przedsiębiorstw.</w:t>
            </w:r>
          </w:p>
          <w:p w:rsidR="00CF1538" w:rsidRPr="004A149C" w:rsidRDefault="00CF1538" w:rsidP="007566C4">
            <w:pPr>
              <w:spacing w:after="0" w:line="240" w:lineRule="auto"/>
              <w:rPr>
                <w:rFonts w:ascii="Arial" w:eastAsia="PMingLiU" w:hAnsi="Arial" w:cs="Arial"/>
                <w:b/>
                <w:lang w:eastAsia="zh-TW"/>
              </w:rPr>
            </w:pPr>
            <w:r w:rsidRPr="004A149C">
              <w:rPr>
                <w:rFonts w:ascii="Arial" w:eastAsia="PMingLiU" w:hAnsi="Arial" w:cs="Arial"/>
                <w:b/>
                <w:lang w:eastAsia="zh-TW"/>
              </w:rPr>
              <w:br/>
              <w:t xml:space="preserve">3. subregion „SP”:  </w:t>
            </w:r>
          </w:p>
          <w:p w:rsidR="00CF1538" w:rsidRPr="004A149C" w:rsidRDefault="00CF1538" w:rsidP="007566C4">
            <w:pPr>
              <w:spacing w:after="0" w:line="240" w:lineRule="auto"/>
              <w:rPr>
                <w:rFonts w:ascii="Arial" w:eastAsia="PMingLiU" w:hAnsi="Arial" w:cs="Arial"/>
                <w:b/>
                <w:lang w:eastAsia="zh-TW"/>
              </w:rPr>
            </w:pPr>
            <w:r w:rsidRPr="004A149C">
              <w:rPr>
                <w:rFonts w:ascii="Arial" w:eastAsia="PMingLiU" w:hAnsi="Arial" w:cs="Arial"/>
                <w:b/>
                <w:lang w:eastAsia="zh-TW"/>
              </w:rPr>
              <w:t xml:space="preserve">- samozatrudnieni i mikroprzedsiębiorstwa; 101 przedsiębiorstw, </w:t>
            </w:r>
          </w:p>
          <w:p w:rsidR="00CF1538" w:rsidRPr="004A149C" w:rsidRDefault="00CF1538" w:rsidP="007566C4">
            <w:pPr>
              <w:spacing w:after="0" w:line="240" w:lineRule="auto"/>
              <w:rPr>
                <w:rFonts w:ascii="Arial" w:eastAsia="PMingLiU" w:hAnsi="Arial" w:cs="Arial"/>
                <w:b/>
                <w:lang w:eastAsia="zh-TW"/>
              </w:rPr>
            </w:pPr>
            <w:r w:rsidRPr="004A149C">
              <w:rPr>
                <w:rFonts w:ascii="Arial" w:eastAsia="PMingLiU" w:hAnsi="Arial" w:cs="Arial"/>
                <w:b/>
                <w:lang w:eastAsia="zh-TW"/>
              </w:rPr>
              <w:t>- małe przedsiębiorstwa; 46 przedsiębiorstw.</w:t>
            </w:r>
          </w:p>
          <w:p w:rsidR="00CF1538" w:rsidRPr="004A149C" w:rsidRDefault="00CF1538" w:rsidP="007566C4">
            <w:pPr>
              <w:spacing w:after="0" w:line="240" w:lineRule="auto"/>
              <w:rPr>
                <w:rFonts w:ascii="Arial" w:eastAsia="PMingLiU" w:hAnsi="Arial" w:cs="Arial"/>
                <w:b/>
                <w:lang w:eastAsia="zh-TW"/>
              </w:rPr>
            </w:pPr>
            <w:r w:rsidRPr="004A149C">
              <w:rPr>
                <w:rFonts w:ascii="Arial" w:eastAsia="PMingLiU" w:hAnsi="Arial" w:cs="Arial"/>
                <w:b/>
                <w:lang w:eastAsia="zh-TW"/>
              </w:rPr>
              <w:br/>
              <w:t>4. subregion „ST”:</w:t>
            </w:r>
          </w:p>
          <w:p w:rsidR="00CF1538" w:rsidRPr="004A149C" w:rsidRDefault="00CF1538" w:rsidP="007566C4">
            <w:pPr>
              <w:spacing w:after="0" w:line="240" w:lineRule="auto"/>
              <w:rPr>
                <w:rFonts w:ascii="Arial" w:eastAsia="PMingLiU" w:hAnsi="Arial" w:cs="Arial"/>
                <w:b/>
                <w:lang w:eastAsia="zh-TW"/>
              </w:rPr>
            </w:pPr>
            <w:r w:rsidRPr="004A149C">
              <w:rPr>
                <w:rFonts w:ascii="Arial" w:eastAsia="PMingLiU" w:hAnsi="Arial" w:cs="Arial"/>
                <w:b/>
                <w:lang w:eastAsia="zh-TW"/>
              </w:rPr>
              <w:t xml:space="preserve">- samozatrudnieni i mikroprzedsiębiorstwa; 134 przedsiębiorstwa, </w:t>
            </w:r>
          </w:p>
          <w:p w:rsidR="00CF1538" w:rsidRPr="004A149C" w:rsidRDefault="00CF1538" w:rsidP="007566C4">
            <w:pPr>
              <w:spacing w:after="0" w:line="240" w:lineRule="auto"/>
              <w:rPr>
                <w:rFonts w:ascii="Arial" w:eastAsia="PMingLiU" w:hAnsi="Arial" w:cs="Arial"/>
                <w:b/>
                <w:lang w:eastAsia="zh-TW"/>
              </w:rPr>
            </w:pPr>
            <w:r w:rsidRPr="004A149C">
              <w:rPr>
                <w:rFonts w:ascii="Arial" w:eastAsia="PMingLiU" w:hAnsi="Arial" w:cs="Arial"/>
                <w:b/>
                <w:lang w:eastAsia="zh-TW"/>
              </w:rPr>
              <w:t>- małe przedsiębiorstwa; 61 przedsiębiorstw.</w:t>
            </w:r>
          </w:p>
          <w:p w:rsidR="00CF1538" w:rsidRPr="004A149C" w:rsidRDefault="00CF1538" w:rsidP="007566C4">
            <w:pPr>
              <w:spacing w:after="0" w:line="240" w:lineRule="auto"/>
              <w:jc w:val="both"/>
              <w:rPr>
                <w:rFonts w:ascii="Arial" w:eastAsia="PMingLiU" w:hAnsi="Arial" w:cs="Arial"/>
                <w:lang w:eastAsia="zh-TW"/>
              </w:rPr>
            </w:pPr>
          </w:p>
          <w:p w:rsidR="00CF1538" w:rsidRPr="004A149C" w:rsidRDefault="00CF1538" w:rsidP="007566C4">
            <w:pPr>
              <w:spacing w:after="0" w:line="240" w:lineRule="auto"/>
              <w:jc w:val="both"/>
              <w:rPr>
                <w:rFonts w:ascii="Arial" w:eastAsia="PMingLiU" w:hAnsi="Arial" w:cs="Arial"/>
                <w:lang w:eastAsia="zh-TW"/>
              </w:rPr>
            </w:pPr>
          </w:p>
        </w:tc>
        <w:tc>
          <w:tcPr>
            <w:tcW w:w="6159" w:type="dxa"/>
          </w:tcPr>
          <w:p w:rsidR="00CF1538" w:rsidRPr="004A149C" w:rsidRDefault="00CF1538" w:rsidP="007566C4">
            <w:pPr>
              <w:widowControl w:val="0"/>
              <w:spacing w:after="0" w:line="240" w:lineRule="auto"/>
              <w:jc w:val="both"/>
              <w:rPr>
                <w:rFonts w:ascii="Arial" w:eastAsia="PMingLiU" w:hAnsi="Arial" w:cs="Arial"/>
                <w:lang w:eastAsia="zh-TW"/>
              </w:rPr>
            </w:pPr>
            <w:r w:rsidRPr="004A149C">
              <w:rPr>
                <w:rFonts w:ascii="Arial" w:eastAsia="PMingLiU" w:hAnsi="Arial" w:cs="Arial"/>
                <w:lang w:eastAsia="zh-TW"/>
              </w:rPr>
              <w:lastRenderedPageBreak/>
              <w:t xml:space="preserve">Wsparcie w ramach Podmiotowego Systemu Finansowania będzie kierowane przede wszystkim do mikroprzedsiębiorstw i firm małych, które najrzadziej korzystają z możliwości </w:t>
            </w:r>
            <w:r w:rsidRPr="004A149C">
              <w:rPr>
                <w:rFonts w:ascii="Arial" w:eastAsia="PMingLiU" w:hAnsi="Arial" w:cs="Arial"/>
                <w:lang w:eastAsia="zh-TW"/>
              </w:rPr>
              <w:lastRenderedPageBreak/>
              <w:t>podnoszenia kwalifikacji zatrudnionych pracowników. Na podstawie danych historycznych z PO KL (dotyczących struktury wsparcia pod kątem pomocy udzielanej firmom ze względu na ich wielkość) obliczono wartości, planowane do osiągnięcia w bieżącej perspektywie dla każdego z wyodrębnionych subregionów. Ze względu na założenie w obecnej perspektywie finansowej realizacji dwóch konkursów, wartości wskaźników podzielono równomiernie - w odniesieniu do środków finansowych, które założono na wsparcie rozwoju kompetencji pracowników sektora MSP (Działanie 7.5, RPO WP 2014 – 2020) oraz do wielkości subregionów.  Racjonalny rozkład środków finansowych w ramach zakładanych przedsięwzięć wpłynie również pozytywnie na realizację wskaźników do osiągnięcia.</w:t>
            </w:r>
          </w:p>
          <w:p w:rsidR="00CF1538" w:rsidRPr="004A149C" w:rsidRDefault="00CF1538" w:rsidP="007566C4">
            <w:pPr>
              <w:widowControl w:val="0"/>
              <w:spacing w:after="0" w:line="240" w:lineRule="auto"/>
              <w:jc w:val="both"/>
              <w:rPr>
                <w:rFonts w:ascii="Arial" w:eastAsia="PMingLiU" w:hAnsi="Arial" w:cs="Arial"/>
                <w:lang w:eastAsia="zh-TW"/>
              </w:rPr>
            </w:pPr>
          </w:p>
          <w:p w:rsidR="00CF1538" w:rsidRPr="004A149C" w:rsidRDefault="00CF1538" w:rsidP="007566C4">
            <w:pPr>
              <w:spacing w:line="240" w:lineRule="auto"/>
              <w:jc w:val="both"/>
              <w:rPr>
                <w:rFonts w:ascii="Arial" w:eastAsia="PMingLiU" w:hAnsi="Arial" w:cs="Arial"/>
                <w:lang w:eastAsia="zh-TW"/>
              </w:rPr>
            </w:pPr>
            <w:r w:rsidRPr="004A149C">
              <w:rPr>
                <w:rFonts w:ascii="Arial" w:eastAsia="PMingLiU" w:hAnsi="Arial" w:cs="Arial"/>
                <w:lang w:eastAsia="zh-TW"/>
              </w:rPr>
              <w:t>Weryfikacja spełnienia kryterium będzie odbywać się na podstawie treści wniosku o dofinansowanie projektu. Zaleca się, aby zapisy świadczące o spełnieniu niniejszego kryterium zostały zawarte w punkcie 3.2 wniosku.</w:t>
            </w:r>
          </w:p>
          <w:p w:rsidR="00CF1538" w:rsidRPr="004A149C" w:rsidRDefault="00CF1538" w:rsidP="007566C4">
            <w:pPr>
              <w:widowControl w:val="0"/>
              <w:spacing w:after="0" w:line="240" w:lineRule="auto"/>
              <w:jc w:val="both"/>
              <w:rPr>
                <w:rFonts w:ascii="Arial" w:eastAsia="PMingLiU" w:hAnsi="Arial" w:cs="Arial"/>
                <w:lang w:eastAsia="zh-TW"/>
              </w:rPr>
            </w:pPr>
          </w:p>
        </w:tc>
        <w:tc>
          <w:tcPr>
            <w:tcW w:w="2781" w:type="dxa"/>
            <w:vAlign w:val="center"/>
          </w:tcPr>
          <w:p w:rsidR="00CF1538" w:rsidRPr="004A149C" w:rsidRDefault="00CF1538" w:rsidP="007566C4">
            <w:pPr>
              <w:spacing w:after="0" w:line="240" w:lineRule="auto"/>
              <w:jc w:val="center"/>
              <w:rPr>
                <w:rFonts w:ascii="Arial" w:eastAsia="PMingLiU" w:hAnsi="Arial" w:cs="Arial"/>
                <w:b/>
                <w:lang w:eastAsia="zh-TW"/>
              </w:rPr>
            </w:pPr>
            <w:r w:rsidRPr="004A149C">
              <w:rPr>
                <w:rFonts w:ascii="Arial" w:eastAsia="PMingLiU" w:hAnsi="Arial" w:cs="Arial"/>
                <w:b/>
                <w:lang w:eastAsia="zh-TW"/>
              </w:rPr>
              <w:lastRenderedPageBreak/>
              <w:t>TAK/ NIE</w:t>
            </w:r>
          </w:p>
          <w:p w:rsidR="00CF1538" w:rsidRPr="004A149C" w:rsidRDefault="00CF1538" w:rsidP="007566C4">
            <w:pPr>
              <w:spacing w:after="0" w:line="240" w:lineRule="auto"/>
              <w:jc w:val="center"/>
              <w:rPr>
                <w:rFonts w:ascii="Arial" w:eastAsia="PMingLiU" w:hAnsi="Arial" w:cs="Arial"/>
                <w:b/>
                <w:lang w:eastAsia="zh-TW"/>
              </w:rPr>
            </w:pPr>
          </w:p>
          <w:p w:rsidR="00CF1538" w:rsidRPr="000042A1" w:rsidRDefault="00CF1538" w:rsidP="007566C4">
            <w:pPr>
              <w:spacing w:after="0" w:line="240" w:lineRule="auto"/>
              <w:jc w:val="center"/>
              <w:rPr>
                <w:rFonts w:ascii="Arial" w:eastAsia="PMingLiU" w:hAnsi="Arial" w:cs="Arial"/>
                <w:lang w:eastAsia="zh-TW"/>
              </w:rPr>
            </w:pPr>
            <w:r w:rsidRPr="000042A1">
              <w:rPr>
                <w:rFonts w:ascii="Arial" w:eastAsia="PMingLiU" w:hAnsi="Arial" w:cs="Arial"/>
                <w:lang w:eastAsia="zh-TW"/>
              </w:rPr>
              <w:t xml:space="preserve">Niespełnienie kryterium </w:t>
            </w:r>
            <w:r w:rsidRPr="000042A1">
              <w:rPr>
                <w:rFonts w:ascii="Arial" w:eastAsia="PMingLiU" w:hAnsi="Arial" w:cs="Arial"/>
                <w:lang w:eastAsia="zh-TW"/>
              </w:rPr>
              <w:lastRenderedPageBreak/>
              <w:t>skutkuje odrzuceniem wniosku</w:t>
            </w:r>
          </w:p>
        </w:tc>
      </w:tr>
      <w:tr w:rsidR="00CF1538" w:rsidRPr="004A149C" w:rsidTr="007566C4">
        <w:tc>
          <w:tcPr>
            <w:tcW w:w="558" w:type="dxa"/>
          </w:tcPr>
          <w:p w:rsidR="00CF1538" w:rsidRPr="006C1556" w:rsidRDefault="00CF1538" w:rsidP="007566C4">
            <w:pPr>
              <w:spacing w:after="0" w:line="240" w:lineRule="auto"/>
              <w:ind w:right="34"/>
              <w:rPr>
                <w:rFonts w:ascii="Arial" w:eastAsia="PMingLiU" w:hAnsi="Arial" w:cs="Arial"/>
                <w:b/>
                <w:lang w:eastAsia="zh-TW"/>
              </w:rPr>
            </w:pPr>
            <w:r w:rsidRPr="006C1556">
              <w:rPr>
                <w:rFonts w:ascii="Arial" w:eastAsia="PMingLiU" w:hAnsi="Arial" w:cs="Arial"/>
                <w:b/>
                <w:lang w:eastAsia="zh-TW"/>
              </w:rPr>
              <w:lastRenderedPageBreak/>
              <w:t>4.</w:t>
            </w:r>
          </w:p>
        </w:tc>
        <w:tc>
          <w:tcPr>
            <w:tcW w:w="4496" w:type="dxa"/>
          </w:tcPr>
          <w:p w:rsidR="00CF1538" w:rsidRPr="004A149C" w:rsidRDefault="00CF1538" w:rsidP="007566C4">
            <w:pPr>
              <w:autoSpaceDE w:val="0"/>
              <w:autoSpaceDN w:val="0"/>
              <w:adjustRightInd w:val="0"/>
              <w:spacing w:before="120" w:after="120" w:line="240" w:lineRule="auto"/>
              <w:jc w:val="both"/>
              <w:rPr>
                <w:rFonts w:ascii="Arial" w:eastAsia="PMingLiU" w:hAnsi="Arial" w:cs="Arial"/>
                <w:b/>
                <w:lang w:eastAsia="zh-TW"/>
              </w:rPr>
            </w:pPr>
            <w:r w:rsidRPr="004A149C">
              <w:rPr>
                <w:rFonts w:ascii="Arial" w:eastAsia="PMingLiU" w:hAnsi="Arial" w:cs="Arial"/>
                <w:b/>
                <w:lang w:eastAsia="zh-TW"/>
              </w:rPr>
              <w:t xml:space="preserve">Projekt jest skierowany do grup </w:t>
            </w:r>
            <w:r w:rsidRPr="004A149C">
              <w:rPr>
                <w:rFonts w:ascii="Arial" w:eastAsia="PMingLiU" w:hAnsi="Arial" w:cs="Arial"/>
                <w:b/>
                <w:lang w:eastAsia="zh-TW"/>
              </w:rPr>
              <w:lastRenderedPageBreak/>
              <w:t>docelowych z obszaru wybranego subregionu województwa podkarpackiego - mikro, małych i średnich przedsiębiorstw (i ich pracowników), które mają siedzibę lub oddział albo miejsce wykonywania działalności gospodarczej na terenie województwa podkarpackiego na dzień podpisania umowy promesy. Oddział/siedziba/miejsce wykonywania działalności gospodarczej mają być wpisane we właściwym rejestrze lub ewidencji na moment złożenia wniosku.</w:t>
            </w:r>
          </w:p>
          <w:p w:rsidR="00CF1538" w:rsidRPr="004A149C" w:rsidRDefault="00CF1538" w:rsidP="007566C4">
            <w:pPr>
              <w:spacing w:after="0" w:line="240" w:lineRule="auto"/>
              <w:jc w:val="both"/>
              <w:rPr>
                <w:rFonts w:ascii="Arial" w:eastAsia="PMingLiU" w:hAnsi="Arial" w:cs="Arial"/>
                <w:lang w:eastAsia="zh-TW"/>
              </w:rPr>
            </w:pPr>
          </w:p>
          <w:p w:rsidR="00CF1538" w:rsidRPr="004A149C" w:rsidRDefault="00CF1538" w:rsidP="007566C4">
            <w:pPr>
              <w:spacing w:after="0" w:line="240" w:lineRule="auto"/>
              <w:jc w:val="both"/>
              <w:rPr>
                <w:rFonts w:ascii="Arial" w:eastAsia="PMingLiU" w:hAnsi="Arial" w:cs="Arial"/>
                <w:lang w:eastAsia="zh-TW"/>
              </w:rPr>
            </w:pPr>
          </w:p>
        </w:tc>
        <w:tc>
          <w:tcPr>
            <w:tcW w:w="6159" w:type="dxa"/>
          </w:tcPr>
          <w:p w:rsidR="00CF1538" w:rsidRPr="004A149C" w:rsidRDefault="00CF1538" w:rsidP="007566C4">
            <w:pPr>
              <w:widowControl w:val="0"/>
              <w:spacing w:after="0" w:line="240" w:lineRule="auto"/>
              <w:jc w:val="both"/>
              <w:rPr>
                <w:rFonts w:ascii="Arial" w:eastAsia="PMingLiU" w:hAnsi="Arial" w:cs="Arial"/>
                <w:lang w:eastAsia="zh-TW"/>
              </w:rPr>
            </w:pPr>
            <w:r w:rsidRPr="004A149C">
              <w:rPr>
                <w:rFonts w:ascii="Arial" w:eastAsia="PMingLiU" w:hAnsi="Arial" w:cs="Arial"/>
                <w:lang w:eastAsia="zh-TW"/>
              </w:rPr>
              <w:lastRenderedPageBreak/>
              <w:t xml:space="preserve">Realizacja projektu wyłącznie dla podmiotów gospodarczych </w:t>
            </w:r>
            <w:r w:rsidRPr="004A149C">
              <w:rPr>
                <w:rFonts w:ascii="Arial" w:eastAsia="PMingLiU" w:hAnsi="Arial" w:cs="Arial"/>
                <w:lang w:eastAsia="zh-TW"/>
              </w:rPr>
              <w:lastRenderedPageBreak/>
              <w:t xml:space="preserve">i pracowników przedsiębiorstw z terenu województwa podkarpackiego jest uzasadniona regionalnym charakterem przewidzianego wsparcia oraz wynika z konieczności wspierania regionalnej gospodarki i realizacji dokumentów strategicznych przez Samorząd Województwa Podkarpackiego. W związku z czym zaplanowano podział województwa na cztery subregiony – zatem, wsparcie będzie kierowane do firm i ich pracowników, działających na danym obszarze. </w:t>
            </w:r>
          </w:p>
          <w:p w:rsidR="00CF1538" w:rsidRPr="004A149C" w:rsidRDefault="00CF1538" w:rsidP="007566C4">
            <w:pPr>
              <w:widowControl w:val="0"/>
              <w:spacing w:after="0" w:line="240" w:lineRule="auto"/>
              <w:jc w:val="both"/>
              <w:rPr>
                <w:rFonts w:ascii="Arial" w:eastAsia="PMingLiU" w:hAnsi="Arial" w:cs="Arial"/>
                <w:lang w:eastAsia="zh-TW"/>
              </w:rPr>
            </w:pPr>
          </w:p>
          <w:p w:rsidR="00CF1538" w:rsidRPr="004A149C" w:rsidRDefault="00CF1538" w:rsidP="007566C4">
            <w:pPr>
              <w:spacing w:line="240" w:lineRule="auto"/>
              <w:jc w:val="both"/>
              <w:rPr>
                <w:rFonts w:ascii="Arial" w:eastAsia="PMingLiU" w:hAnsi="Arial" w:cs="Arial"/>
                <w:lang w:eastAsia="zh-TW"/>
              </w:rPr>
            </w:pPr>
            <w:r w:rsidRPr="004A149C">
              <w:rPr>
                <w:rFonts w:ascii="Arial" w:eastAsia="PMingLiU" w:hAnsi="Arial" w:cs="Arial"/>
                <w:lang w:eastAsia="zh-TW"/>
              </w:rPr>
              <w:t>Weryfikacja spełnienia kryterium będzie odbywać się na podstawie treści wniosku o dofinansowanie projektu. Zaleca się, aby zapisy świadczące o spełnieniu niniejszego kryterium zostały zawarte w punkcie 3.2 wniosku.</w:t>
            </w:r>
          </w:p>
          <w:p w:rsidR="00CF1538" w:rsidRPr="004A149C" w:rsidRDefault="00CF1538" w:rsidP="007566C4">
            <w:pPr>
              <w:widowControl w:val="0"/>
              <w:spacing w:after="0" w:line="240" w:lineRule="auto"/>
              <w:jc w:val="both"/>
              <w:rPr>
                <w:rFonts w:ascii="Arial" w:eastAsia="PMingLiU" w:hAnsi="Arial" w:cs="Arial"/>
                <w:lang w:eastAsia="zh-TW"/>
              </w:rPr>
            </w:pPr>
          </w:p>
        </w:tc>
        <w:tc>
          <w:tcPr>
            <w:tcW w:w="2781" w:type="dxa"/>
            <w:vAlign w:val="center"/>
          </w:tcPr>
          <w:p w:rsidR="00CF1538" w:rsidRPr="004A149C" w:rsidRDefault="00CF1538" w:rsidP="007566C4">
            <w:pPr>
              <w:spacing w:after="0" w:line="240" w:lineRule="auto"/>
              <w:jc w:val="center"/>
              <w:rPr>
                <w:rFonts w:ascii="Arial" w:eastAsia="PMingLiU" w:hAnsi="Arial" w:cs="Arial"/>
                <w:b/>
                <w:lang w:eastAsia="zh-TW"/>
              </w:rPr>
            </w:pPr>
            <w:r w:rsidRPr="004A149C">
              <w:rPr>
                <w:rFonts w:ascii="Arial" w:eastAsia="PMingLiU" w:hAnsi="Arial" w:cs="Arial"/>
                <w:b/>
                <w:lang w:eastAsia="zh-TW"/>
              </w:rPr>
              <w:lastRenderedPageBreak/>
              <w:t>TAK/ NIE</w:t>
            </w:r>
          </w:p>
          <w:p w:rsidR="00CF1538" w:rsidRPr="004A149C" w:rsidRDefault="00CF1538" w:rsidP="007566C4">
            <w:pPr>
              <w:spacing w:after="0" w:line="240" w:lineRule="auto"/>
              <w:jc w:val="center"/>
              <w:rPr>
                <w:rFonts w:ascii="Arial" w:eastAsia="PMingLiU" w:hAnsi="Arial" w:cs="Arial"/>
                <w:b/>
                <w:lang w:eastAsia="zh-TW"/>
              </w:rPr>
            </w:pPr>
          </w:p>
          <w:p w:rsidR="00CF1538" w:rsidRPr="000042A1" w:rsidRDefault="00CF1538" w:rsidP="007566C4">
            <w:pPr>
              <w:spacing w:after="0" w:line="240" w:lineRule="auto"/>
              <w:jc w:val="center"/>
              <w:rPr>
                <w:rFonts w:ascii="Arial" w:eastAsia="PMingLiU" w:hAnsi="Arial" w:cs="Arial"/>
                <w:lang w:eastAsia="zh-TW"/>
              </w:rPr>
            </w:pPr>
            <w:r w:rsidRPr="000042A1">
              <w:rPr>
                <w:rFonts w:ascii="Arial" w:eastAsia="PMingLiU" w:hAnsi="Arial" w:cs="Arial"/>
                <w:lang w:eastAsia="zh-TW"/>
              </w:rPr>
              <w:t>Niespełnienie kryterium skutkuje odrzuceniem wniosku</w:t>
            </w:r>
          </w:p>
        </w:tc>
      </w:tr>
      <w:tr w:rsidR="00CF1538" w:rsidRPr="004A149C" w:rsidTr="007566C4">
        <w:tc>
          <w:tcPr>
            <w:tcW w:w="558" w:type="dxa"/>
          </w:tcPr>
          <w:p w:rsidR="00CF1538" w:rsidRPr="006C1556" w:rsidRDefault="00CF1538" w:rsidP="007566C4">
            <w:pPr>
              <w:spacing w:after="0" w:line="240" w:lineRule="auto"/>
              <w:ind w:right="34"/>
              <w:rPr>
                <w:rFonts w:ascii="Arial" w:eastAsia="PMingLiU" w:hAnsi="Arial" w:cs="Arial"/>
                <w:lang w:eastAsia="zh-TW"/>
              </w:rPr>
            </w:pPr>
            <w:r w:rsidRPr="006C1556">
              <w:rPr>
                <w:rFonts w:ascii="Arial" w:eastAsia="PMingLiU" w:hAnsi="Arial" w:cs="Arial"/>
                <w:lang w:eastAsia="zh-TW"/>
              </w:rPr>
              <w:lastRenderedPageBreak/>
              <w:t>5.</w:t>
            </w:r>
          </w:p>
        </w:tc>
        <w:tc>
          <w:tcPr>
            <w:tcW w:w="4496" w:type="dxa"/>
          </w:tcPr>
          <w:p w:rsidR="00CF1538" w:rsidRPr="004A149C" w:rsidRDefault="00CF1538" w:rsidP="007566C4">
            <w:pPr>
              <w:spacing w:after="0" w:line="240" w:lineRule="auto"/>
              <w:jc w:val="both"/>
              <w:rPr>
                <w:rFonts w:ascii="Arial" w:eastAsia="PMingLiU" w:hAnsi="Arial" w:cs="Arial"/>
                <w:b/>
                <w:lang w:eastAsia="zh-TW"/>
              </w:rPr>
            </w:pPr>
            <w:r w:rsidRPr="004A149C">
              <w:rPr>
                <w:rFonts w:ascii="Arial" w:eastAsia="PMingLiU" w:hAnsi="Arial" w:cs="Arial"/>
                <w:b/>
                <w:lang w:eastAsia="zh-TW"/>
              </w:rPr>
              <w:t>Wśród osób objętych wsparciem w ramach projektu minimum 42% uczestników stanowią pracownicy MŚP o niskich kwalifikacjach, tj.</w:t>
            </w:r>
          </w:p>
          <w:p w:rsidR="00CF1538" w:rsidRPr="004A149C" w:rsidRDefault="00CF1538" w:rsidP="00CF1538">
            <w:pPr>
              <w:numPr>
                <w:ilvl w:val="0"/>
                <w:numId w:val="2"/>
              </w:numPr>
              <w:spacing w:after="0" w:line="240" w:lineRule="auto"/>
              <w:jc w:val="both"/>
              <w:rPr>
                <w:rFonts w:ascii="Arial" w:eastAsia="PMingLiU" w:hAnsi="Arial" w:cs="Arial"/>
                <w:b/>
                <w:lang w:eastAsia="zh-TW"/>
              </w:rPr>
            </w:pPr>
            <w:r w:rsidRPr="004A149C">
              <w:rPr>
                <w:rFonts w:ascii="Arial" w:eastAsia="PMingLiU" w:hAnsi="Arial" w:cs="Arial"/>
                <w:b/>
                <w:lang w:eastAsia="zh-TW"/>
              </w:rPr>
              <w:t>subregion „SR”; 441 osób,</w:t>
            </w:r>
          </w:p>
          <w:p w:rsidR="00CF1538" w:rsidRPr="004A149C" w:rsidRDefault="00CF1538" w:rsidP="00CF1538">
            <w:pPr>
              <w:numPr>
                <w:ilvl w:val="0"/>
                <w:numId w:val="2"/>
              </w:numPr>
              <w:spacing w:after="0" w:line="240" w:lineRule="auto"/>
              <w:jc w:val="both"/>
              <w:rPr>
                <w:rFonts w:ascii="Arial" w:eastAsia="PMingLiU" w:hAnsi="Arial" w:cs="Arial"/>
                <w:b/>
                <w:lang w:eastAsia="zh-TW"/>
              </w:rPr>
            </w:pPr>
            <w:r w:rsidRPr="004A149C">
              <w:rPr>
                <w:rFonts w:ascii="Arial" w:eastAsia="PMingLiU" w:hAnsi="Arial" w:cs="Arial"/>
                <w:b/>
                <w:lang w:eastAsia="zh-TW"/>
              </w:rPr>
              <w:t>subregion „SK”; 292 osób,</w:t>
            </w:r>
          </w:p>
          <w:p w:rsidR="00CF1538" w:rsidRPr="004A149C" w:rsidRDefault="00CF1538" w:rsidP="00CF1538">
            <w:pPr>
              <w:numPr>
                <w:ilvl w:val="0"/>
                <w:numId w:val="2"/>
              </w:numPr>
              <w:spacing w:after="0" w:line="240" w:lineRule="auto"/>
              <w:jc w:val="both"/>
              <w:rPr>
                <w:rFonts w:ascii="Arial" w:eastAsia="PMingLiU" w:hAnsi="Arial" w:cs="Arial"/>
                <w:b/>
                <w:lang w:eastAsia="zh-TW"/>
              </w:rPr>
            </w:pPr>
            <w:r w:rsidRPr="004A149C">
              <w:rPr>
                <w:rFonts w:ascii="Arial" w:eastAsia="PMingLiU" w:hAnsi="Arial" w:cs="Arial"/>
                <w:b/>
                <w:lang w:eastAsia="zh-TW"/>
              </w:rPr>
              <w:t>subregion „SP”; 191 osób,</w:t>
            </w:r>
          </w:p>
          <w:p w:rsidR="00CF1538" w:rsidRPr="004A149C" w:rsidRDefault="00CF1538" w:rsidP="00CF1538">
            <w:pPr>
              <w:numPr>
                <w:ilvl w:val="0"/>
                <w:numId w:val="2"/>
              </w:numPr>
              <w:spacing w:after="0" w:line="240" w:lineRule="auto"/>
              <w:jc w:val="both"/>
              <w:rPr>
                <w:rFonts w:ascii="Arial" w:eastAsia="PMingLiU" w:hAnsi="Arial" w:cs="Arial"/>
                <w:b/>
                <w:lang w:eastAsia="zh-TW"/>
              </w:rPr>
            </w:pPr>
            <w:r w:rsidRPr="004A149C">
              <w:rPr>
                <w:rFonts w:ascii="Arial" w:eastAsia="PMingLiU" w:hAnsi="Arial" w:cs="Arial"/>
                <w:b/>
                <w:lang w:eastAsia="zh-TW"/>
              </w:rPr>
              <w:t>subregion „ST”; 254 osób.</w:t>
            </w:r>
          </w:p>
        </w:tc>
        <w:tc>
          <w:tcPr>
            <w:tcW w:w="6159" w:type="dxa"/>
          </w:tcPr>
          <w:p w:rsidR="00CF1538" w:rsidRPr="004A149C" w:rsidRDefault="00CF1538" w:rsidP="007566C4">
            <w:pPr>
              <w:widowControl w:val="0"/>
              <w:spacing w:after="0" w:line="240" w:lineRule="auto"/>
              <w:jc w:val="both"/>
              <w:rPr>
                <w:rFonts w:ascii="Arial" w:eastAsia="PMingLiU" w:hAnsi="Arial" w:cs="Arial"/>
                <w:lang w:eastAsia="zh-TW"/>
              </w:rPr>
            </w:pPr>
            <w:r w:rsidRPr="004A149C">
              <w:rPr>
                <w:rFonts w:ascii="Arial" w:eastAsia="PMingLiU" w:hAnsi="Arial" w:cs="Arial"/>
                <w:lang w:eastAsia="zh-TW"/>
              </w:rPr>
              <w:t>Grupa ta została zidentyfikowana w województwie podkarpackim, jako szczególnie defaworyzowana na rynku pracy i posiadająca największe trudności na rynku pracy z uwagi na nieaktualne lub nieadekwatne do potrzeb pracodawców kwalifikacje, ale także utrudniony dostęp do uczestnictwa w realizowanych projektach. Wdrożenie projektów spełniających powyższe kryterium ma na celu zwiększenie zdolności osób pracujących o niskich kwalifikacjach zawodowych do utrzymana aktywności zawodowej na rynku pracy. Wskaźnik procentowy wynika ze struktury pracowników przedsiębiorstw, które zostały objęte wsparciem w poprzedniej perspektywie finansowej.</w:t>
            </w:r>
          </w:p>
          <w:p w:rsidR="00CF1538" w:rsidRPr="004A149C" w:rsidRDefault="00CF1538" w:rsidP="007566C4">
            <w:pPr>
              <w:widowControl w:val="0"/>
              <w:spacing w:after="0" w:line="240" w:lineRule="auto"/>
              <w:jc w:val="both"/>
              <w:rPr>
                <w:rFonts w:ascii="Arial" w:eastAsia="PMingLiU" w:hAnsi="Arial" w:cs="Arial"/>
                <w:lang w:eastAsia="zh-TW"/>
              </w:rPr>
            </w:pPr>
          </w:p>
          <w:p w:rsidR="00CF1538" w:rsidRPr="004A149C" w:rsidRDefault="00CF1538" w:rsidP="007566C4">
            <w:pPr>
              <w:spacing w:line="240" w:lineRule="auto"/>
              <w:jc w:val="both"/>
              <w:rPr>
                <w:rFonts w:ascii="Arial" w:eastAsia="PMingLiU" w:hAnsi="Arial" w:cs="Arial"/>
                <w:lang w:eastAsia="zh-TW"/>
              </w:rPr>
            </w:pPr>
            <w:r w:rsidRPr="004A149C">
              <w:rPr>
                <w:rFonts w:ascii="Arial" w:eastAsia="PMingLiU" w:hAnsi="Arial" w:cs="Arial"/>
                <w:lang w:eastAsia="zh-TW"/>
              </w:rPr>
              <w:t>Weryfikacja spełnienia kryterium będzie odbywać się na podstawie treści wniosku o dofinansowanie projektu. Zaleca się, aby zapisy świadczące o spełnieniu niniejszego kryterium zostały zawarte w punkcie 3.2 wniosku.</w:t>
            </w:r>
          </w:p>
          <w:p w:rsidR="00CF1538" w:rsidRPr="004A149C" w:rsidRDefault="00CF1538" w:rsidP="007566C4">
            <w:pPr>
              <w:widowControl w:val="0"/>
              <w:spacing w:after="0" w:line="240" w:lineRule="auto"/>
              <w:jc w:val="both"/>
              <w:rPr>
                <w:rFonts w:ascii="Arial" w:eastAsia="PMingLiU" w:hAnsi="Arial" w:cs="Arial"/>
                <w:lang w:eastAsia="zh-TW"/>
              </w:rPr>
            </w:pPr>
          </w:p>
        </w:tc>
        <w:tc>
          <w:tcPr>
            <w:tcW w:w="2781" w:type="dxa"/>
            <w:vAlign w:val="center"/>
          </w:tcPr>
          <w:p w:rsidR="00CF1538" w:rsidRPr="004A149C" w:rsidRDefault="00CF1538" w:rsidP="007566C4">
            <w:pPr>
              <w:spacing w:after="0" w:line="240" w:lineRule="auto"/>
              <w:jc w:val="center"/>
              <w:rPr>
                <w:rFonts w:ascii="Arial" w:eastAsia="PMingLiU" w:hAnsi="Arial" w:cs="Arial"/>
                <w:b/>
                <w:lang w:eastAsia="zh-TW"/>
              </w:rPr>
            </w:pPr>
            <w:r w:rsidRPr="004A149C">
              <w:rPr>
                <w:rFonts w:ascii="Arial" w:eastAsia="PMingLiU" w:hAnsi="Arial" w:cs="Arial"/>
                <w:b/>
                <w:lang w:eastAsia="zh-TW"/>
              </w:rPr>
              <w:lastRenderedPageBreak/>
              <w:t>TAK/ NIE</w:t>
            </w:r>
          </w:p>
          <w:p w:rsidR="00CF1538" w:rsidRPr="004A149C" w:rsidRDefault="00CF1538" w:rsidP="007566C4">
            <w:pPr>
              <w:spacing w:after="0" w:line="240" w:lineRule="auto"/>
              <w:jc w:val="center"/>
              <w:rPr>
                <w:rFonts w:ascii="Arial" w:eastAsia="PMingLiU" w:hAnsi="Arial" w:cs="Arial"/>
                <w:b/>
                <w:lang w:eastAsia="zh-TW"/>
              </w:rPr>
            </w:pPr>
          </w:p>
          <w:p w:rsidR="00CF1538" w:rsidRPr="000042A1" w:rsidRDefault="00CF1538" w:rsidP="007566C4">
            <w:pPr>
              <w:spacing w:after="0" w:line="240" w:lineRule="auto"/>
              <w:jc w:val="center"/>
              <w:rPr>
                <w:rFonts w:ascii="Arial" w:eastAsia="PMingLiU" w:hAnsi="Arial" w:cs="Arial"/>
                <w:lang w:eastAsia="zh-TW"/>
              </w:rPr>
            </w:pPr>
            <w:r w:rsidRPr="000042A1">
              <w:rPr>
                <w:rFonts w:ascii="Arial" w:eastAsia="PMingLiU" w:hAnsi="Arial" w:cs="Arial"/>
                <w:lang w:eastAsia="zh-TW"/>
              </w:rPr>
              <w:t>Niespełnienie kryterium skutkuje odrzuceniem wniosku</w:t>
            </w:r>
          </w:p>
        </w:tc>
      </w:tr>
      <w:tr w:rsidR="00CF1538" w:rsidRPr="004A149C" w:rsidTr="007566C4">
        <w:tc>
          <w:tcPr>
            <w:tcW w:w="558" w:type="dxa"/>
          </w:tcPr>
          <w:p w:rsidR="00CF1538" w:rsidRPr="006C1556" w:rsidRDefault="00CF1538" w:rsidP="007566C4">
            <w:pPr>
              <w:spacing w:after="0" w:line="240" w:lineRule="auto"/>
              <w:ind w:right="34"/>
              <w:rPr>
                <w:rFonts w:ascii="Arial" w:eastAsia="PMingLiU" w:hAnsi="Arial" w:cs="Arial"/>
                <w:lang w:eastAsia="zh-TW"/>
              </w:rPr>
            </w:pPr>
            <w:r w:rsidRPr="006C1556">
              <w:rPr>
                <w:rFonts w:ascii="Arial" w:eastAsia="PMingLiU" w:hAnsi="Arial" w:cs="Arial"/>
                <w:lang w:eastAsia="zh-TW"/>
              </w:rPr>
              <w:lastRenderedPageBreak/>
              <w:t>6.</w:t>
            </w:r>
          </w:p>
        </w:tc>
        <w:tc>
          <w:tcPr>
            <w:tcW w:w="4496" w:type="dxa"/>
          </w:tcPr>
          <w:p w:rsidR="00CF1538" w:rsidRPr="004A149C" w:rsidRDefault="00CF1538" w:rsidP="007566C4">
            <w:pPr>
              <w:spacing w:after="0" w:line="240" w:lineRule="auto"/>
              <w:jc w:val="both"/>
              <w:rPr>
                <w:rFonts w:ascii="Arial" w:eastAsia="PMingLiU" w:hAnsi="Arial" w:cs="Arial"/>
                <w:b/>
                <w:lang w:eastAsia="zh-TW"/>
              </w:rPr>
            </w:pPr>
            <w:r w:rsidRPr="004A149C">
              <w:rPr>
                <w:rFonts w:ascii="Arial" w:eastAsia="PMingLiU" w:hAnsi="Arial" w:cs="Arial"/>
                <w:b/>
                <w:lang w:eastAsia="zh-TW"/>
              </w:rPr>
              <w:t>Wśród osób objętych wsparciem w ramach projektu minimum 12 % uczestników stanowią pracownicy MŚP w wieku powyżej 50r.ż., tj.</w:t>
            </w:r>
          </w:p>
          <w:p w:rsidR="00CF1538" w:rsidRPr="004A149C" w:rsidRDefault="00CF1538" w:rsidP="00CF1538">
            <w:pPr>
              <w:numPr>
                <w:ilvl w:val="0"/>
                <w:numId w:val="3"/>
              </w:numPr>
              <w:spacing w:after="0" w:line="240" w:lineRule="auto"/>
              <w:jc w:val="both"/>
              <w:rPr>
                <w:rFonts w:ascii="Arial" w:eastAsia="PMingLiU" w:hAnsi="Arial" w:cs="Arial"/>
                <w:b/>
                <w:lang w:eastAsia="zh-TW"/>
              </w:rPr>
            </w:pPr>
            <w:r w:rsidRPr="004A149C">
              <w:rPr>
                <w:rFonts w:ascii="Arial" w:eastAsia="PMingLiU" w:hAnsi="Arial" w:cs="Arial"/>
                <w:b/>
                <w:lang w:eastAsia="zh-TW"/>
              </w:rPr>
              <w:t>subregion „SR”; 118 osób,</w:t>
            </w:r>
          </w:p>
          <w:p w:rsidR="00CF1538" w:rsidRPr="004A149C" w:rsidRDefault="00CF1538" w:rsidP="00CF1538">
            <w:pPr>
              <w:numPr>
                <w:ilvl w:val="0"/>
                <w:numId w:val="3"/>
              </w:numPr>
              <w:spacing w:after="0" w:line="240" w:lineRule="auto"/>
              <w:jc w:val="both"/>
              <w:rPr>
                <w:rFonts w:ascii="Arial" w:eastAsia="PMingLiU" w:hAnsi="Arial" w:cs="Arial"/>
                <w:b/>
                <w:lang w:eastAsia="zh-TW"/>
              </w:rPr>
            </w:pPr>
            <w:r w:rsidRPr="004A149C">
              <w:rPr>
                <w:rFonts w:ascii="Arial" w:eastAsia="PMingLiU" w:hAnsi="Arial" w:cs="Arial"/>
                <w:b/>
                <w:lang w:eastAsia="zh-TW"/>
              </w:rPr>
              <w:t>subregion „SK”; 79 osób,</w:t>
            </w:r>
          </w:p>
          <w:p w:rsidR="00CF1538" w:rsidRPr="004A149C" w:rsidRDefault="00CF1538" w:rsidP="00CF1538">
            <w:pPr>
              <w:numPr>
                <w:ilvl w:val="0"/>
                <w:numId w:val="3"/>
              </w:numPr>
              <w:spacing w:after="0" w:line="240" w:lineRule="auto"/>
              <w:jc w:val="both"/>
              <w:rPr>
                <w:rFonts w:ascii="Arial" w:eastAsia="PMingLiU" w:hAnsi="Arial" w:cs="Arial"/>
                <w:b/>
                <w:lang w:eastAsia="zh-TW"/>
              </w:rPr>
            </w:pPr>
            <w:r w:rsidRPr="004A149C">
              <w:rPr>
                <w:rFonts w:ascii="Arial" w:eastAsia="PMingLiU" w:hAnsi="Arial" w:cs="Arial"/>
                <w:b/>
                <w:lang w:eastAsia="zh-TW"/>
              </w:rPr>
              <w:t>subregion „SP”; 51 osób,</w:t>
            </w:r>
          </w:p>
          <w:p w:rsidR="00CF1538" w:rsidRPr="004A149C" w:rsidRDefault="00CF1538" w:rsidP="00CF1538">
            <w:pPr>
              <w:numPr>
                <w:ilvl w:val="0"/>
                <w:numId w:val="3"/>
              </w:numPr>
              <w:spacing w:after="0" w:line="240" w:lineRule="auto"/>
              <w:jc w:val="both"/>
              <w:rPr>
                <w:rFonts w:ascii="Arial" w:eastAsia="PMingLiU" w:hAnsi="Arial" w:cs="Arial"/>
                <w:b/>
                <w:lang w:eastAsia="zh-TW"/>
              </w:rPr>
            </w:pPr>
            <w:r w:rsidRPr="004A149C">
              <w:rPr>
                <w:rFonts w:ascii="Arial" w:eastAsia="PMingLiU" w:hAnsi="Arial" w:cs="Arial"/>
                <w:b/>
                <w:lang w:eastAsia="zh-TW"/>
              </w:rPr>
              <w:t>subregion „ST”; 68 osób.</w:t>
            </w:r>
          </w:p>
        </w:tc>
        <w:tc>
          <w:tcPr>
            <w:tcW w:w="6159" w:type="dxa"/>
          </w:tcPr>
          <w:p w:rsidR="00CF1538" w:rsidRPr="004A149C" w:rsidRDefault="00CF1538" w:rsidP="007566C4">
            <w:pPr>
              <w:widowControl w:val="0"/>
              <w:spacing w:after="0" w:line="240" w:lineRule="auto"/>
              <w:jc w:val="both"/>
              <w:rPr>
                <w:rFonts w:ascii="Arial" w:eastAsia="PMingLiU" w:hAnsi="Arial" w:cs="Arial"/>
                <w:lang w:eastAsia="zh-TW"/>
              </w:rPr>
            </w:pPr>
            <w:r w:rsidRPr="004A149C">
              <w:rPr>
                <w:rFonts w:ascii="Arial" w:eastAsia="PMingLiU" w:hAnsi="Arial" w:cs="Arial"/>
                <w:lang w:eastAsia="zh-TW"/>
              </w:rPr>
              <w:t>Grupa ta została zidentyfikowana w województwie podkarpackim, jako szczególnie defaworyzowana na rynku pracy i posiadająca największe trudności na rynku pracy z uwagi na nieaktualne lub nieadekwatne do potrzeb pracodawców kwalifikacje, ale także utrudniony dostęp do uczestnictwa w realizowanych projektach. Wdrożenie projektów, spełniających powyższe kryteria, ma na celu zwiększenie zdolności osób pracujących, powyżej 50 roku życia, do utrzymana aktywności zawodowej na rynku pracy. Ponadto przyczynią się one do sięgnięcia przez pracodawców do zasobów kadrowych, będących do tej pory uważanymi za niewystarczająco wydajne.</w:t>
            </w:r>
          </w:p>
          <w:p w:rsidR="00CF1538" w:rsidRPr="004A149C" w:rsidRDefault="00CF1538" w:rsidP="007566C4">
            <w:pPr>
              <w:widowControl w:val="0"/>
              <w:spacing w:after="0" w:line="240" w:lineRule="auto"/>
              <w:jc w:val="both"/>
              <w:rPr>
                <w:rFonts w:ascii="Arial" w:eastAsia="PMingLiU" w:hAnsi="Arial" w:cs="Arial"/>
                <w:lang w:eastAsia="zh-TW"/>
              </w:rPr>
            </w:pPr>
          </w:p>
          <w:p w:rsidR="00CF1538" w:rsidRPr="004A149C" w:rsidRDefault="00CF1538" w:rsidP="007566C4">
            <w:pPr>
              <w:spacing w:line="240" w:lineRule="auto"/>
              <w:jc w:val="both"/>
              <w:rPr>
                <w:rFonts w:ascii="Arial" w:eastAsia="PMingLiU" w:hAnsi="Arial" w:cs="Arial"/>
                <w:lang w:eastAsia="zh-TW"/>
              </w:rPr>
            </w:pPr>
            <w:r w:rsidRPr="004A149C">
              <w:rPr>
                <w:rFonts w:ascii="Arial" w:eastAsia="PMingLiU" w:hAnsi="Arial" w:cs="Arial"/>
                <w:lang w:eastAsia="zh-TW"/>
              </w:rPr>
              <w:t>Weryfikacja spełnienia kryterium będzie odbywać się na podstawie treści wniosku o dofinansowanie projektu. Zaleca się, aby zapisy świadczące o spełnieniu niniejszego kryterium zostały zawarte w punkcie 3.2 wniosku.</w:t>
            </w:r>
          </w:p>
          <w:p w:rsidR="00CF1538" w:rsidRPr="004A149C" w:rsidRDefault="00CF1538" w:rsidP="007566C4">
            <w:pPr>
              <w:widowControl w:val="0"/>
              <w:spacing w:after="0" w:line="240" w:lineRule="auto"/>
              <w:jc w:val="both"/>
              <w:rPr>
                <w:rFonts w:ascii="Arial" w:eastAsia="PMingLiU" w:hAnsi="Arial" w:cs="Arial"/>
                <w:lang w:eastAsia="zh-TW"/>
              </w:rPr>
            </w:pPr>
          </w:p>
        </w:tc>
        <w:tc>
          <w:tcPr>
            <w:tcW w:w="2781" w:type="dxa"/>
            <w:vAlign w:val="center"/>
          </w:tcPr>
          <w:p w:rsidR="00CF1538" w:rsidRPr="004A149C" w:rsidRDefault="00CF1538" w:rsidP="007566C4">
            <w:pPr>
              <w:spacing w:after="0" w:line="240" w:lineRule="auto"/>
              <w:jc w:val="center"/>
              <w:rPr>
                <w:rFonts w:ascii="Arial" w:eastAsia="PMingLiU" w:hAnsi="Arial" w:cs="Arial"/>
                <w:b/>
                <w:lang w:eastAsia="zh-TW"/>
              </w:rPr>
            </w:pPr>
            <w:r w:rsidRPr="004A149C">
              <w:rPr>
                <w:rFonts w:ascii="Arial" w:eastAsia="PMingLiU" w:hAnsi="Arial" w:cs="Arial"/>
                <w:b/>
                <w:lang w:eastAsia="zh-TW"/>
              </w:rPr>
              <w:t>TAK/ NIE</w:t>
            </w:r>
          </w:p>
          <w:p w:rsidR="00CF1538" w:rsidRPr="004A149C" w:rsidRDefault="00CF1538" w:rsidP="007566C4">
            <w:pPr>
              <w:spacing w:after="0" w:line="240" w:lineRule="auto"/>
              <w:jc w:val="center"/>
              <w:rPr>
                <w:rFonts w:ascii="Arial" w:eastAsia="PMingLiU" w:hAnsi="Arial" w:cs="Arial"/>
                <w:b/>
                <w:lang w:eastAsia="zh-TW"/>
              </w:rPr>
            </w:pPr>
          </w:p>
          <w:p w:rsidR="00CF1538" w:rsidRPr="000042A1" w:rsidRDefault="00CF1538" w:rsidP="007566C4">
            <w:pPr>
              <w:spacing w:after="0" w:line="240" w:lineRule="auto"/>
              <w:jc w:val="center"/>
              <w:rPr>
                <w:rFonts w:ascii="Arial" w:eastAsia="PMingLiU" w:hAnsi="Arial" w:cs="Arial"/>
                <w:lang w:eastAsia="zh-TW"/>
              </w:rPr>
            </w:pPr>
            <w:r w:rsidRPr="000042A1">
              <w:rPr>
                <w:rFonts w:ascii="Arial" w:eastAsia="PMingLiU" w:hAnsi="Arial" w:cs="Arial"/>
                <w:lang w:eastAsia="zh-TW"/>
              </w:rPr>
              <w:t>Niespełnienie kryterium skutkuje odrzuceniem wniosku</w:t>
            </w:r>
          </w:p>
        </w:tc>
      </w:tr>
      <w:tr w:rsidR="00CF1538" w:rsidRPr="004A149C" w:rsidTr="007566C4">
        <w:tc>
          <w:tcPr>
            <w:tcW w:w="558" w:type="dxa"/>
          </w:tcPr>
          <w:p w:rsidR="00CF1538" w:rsidRPr="006C1556" w:rsidRDefault="00CF1538" w:rsidP="007566C4">
            <w:pPr>
              <w:spacing w:after="0" w:line="240" w:lineRule="auto"/>
              <w:ind w:right="34"/>
              <w:rPr>
                <w:rFonts w:ascii="Arial" w:eastAsia="PMingLiU" w:hAnsi="Arial" w:cs="Arial"/>
                <w:b/>
                <w:lang w:eastAsia="zh-TW"/>
              </w:rPr>
            </w:pPr>
            <w:r>
              <w:rPr>
                <w:rFonts w:ascii="Arial" w:eastAsia="PMingLiU" w:hAnsi="Arial" w:cs="Arial"/>
                <w:b/>
                <w:lang w:eastAsia="zh-TW"/>
              </w:rPr>
              <w:t>7.</w:t>
            </w:r>
          </w:p>
        </w:tc>
        <w:tc>
          <w:tcPr>
            <w:tcW w:w="4496" w:type="dxa"/>
          </w:tcPr>
          <w:p w:rsidR="00CF1538" w:rsidRPr="00A8010E" w:rsidRDefault="00CF1538" w:rsidP="007566C4">
            <w:pPr>
              <w:rPr>
                <w:rFonts w:ascii="Arial" w:hAnsi="Arial" w:cs="Arial"/>
                <w:b/>
              </w:rPr>
            </w:pPr>
            <w:r w:rsidRPr="00A8010E">
              <w:rPr>
                <w:rFonts w:ascii="Arial" w:hAnsi="Arial" w:cs="Arial"/>
                <w:b/>
              </w:rPr>
              <w:t xml:space="preserve">Projekt przewiduje wyższe o 10% dofinansowanie usług rozwojowych: </w:t>
            </w:r>
          </w:p>
          <w:p w:rsidR="00CF1538" w:rsidRPr="00A8010E" w:rsidRDefault="00CF1538" w:rsidP="00CF1538">
            <w:pPr>
              <w:numPr>
                <w:ilvl w:val="0"/>
                <w:numId w:val="4"/>
              </w:numPr>
              <w:spacing w:after="0" w:line="240" w:lineRule="auto"/>
              <w:rPr>
                <w:rFonts w:ascii="Arial" w:hAnsi="Arial" w:cs="Arial"/>
                <w:b/>
              </w:rPr>
            </w:pPr>
            <w:r w:rsidRPr="00A8010E">
              <w:rPr>
                <w:rFonts w:ascii="Arial" w:hAnsi="Arial" w:cs="Arial"/>
                <w:b/>
              </w:rPr>
              <w:t>kończących się nabyciem lub potwierdzeniem kwalifikacji,</w:t>
            </w:r>
          </w:p>
          <w:p w:rsidR="00CF1538" w:rsidRPr="00A8010E" w:rsidRDefault="00CF1538" w:rsidP="00CF1538">
            <w:pPr>
              <w:numPr>
                <w:ilvl w:val="0"/>
                <w:numId w:val="4"/>
              </w:numPr>
              <w:spacing w:after="0" w:line="240" w:lineRule="auto"/>
              <w:rPr>
                <w:rFonts w:ascii="Arial" w:hAnsi="Arial" w:cs="Arial"/>
                <w:b/>
              </w:rPr>
            </w:pPr>
            <w:r w:rsidRPr="00A8010E">
              <w:rPr>
                <w:rFonts w:ascii="Arial" w:hAnsi="Arial" w:cs="Arial"/>
                <w:b/>
              </w:rPr>
              <w:t>dla osób o niskich kwalifikacjach,</w:t>
            </w:r>
          </w:p>
          <w:p w:rsidR="00CF1538" w:rsidRPr="00A8010E" w:rsidRDefault="00CF1538" w:rsidP="00CF1538">
            <w:pPr>
              <w:numPr>
                <w:ilvl w:val="0"/>
                <w:numId w:val="4"/>
              </w:numPr>
              <w:spacing w:after="0" w:line="240" w:lineRule="auto"/>
              <w:rPr>
                <w:rFonts w:ascii="Arial" w:hAnsi="Arial" w:cs="Arial"/>
                <w:b/>
              </w:rPr>
            </w:pPr>
            <w:r w:rsidRPr="00A8010E">
              <w:rPr>
                <w:rFonts w:ascii="Arial" w:hAnsi="Arial" w:cs="Arial"/>
                <w:b/>
              </w:rPr>
              <w:t>dla osób w wieku powyżej 50 r. ż.</w:t>
            </w:r>
          </w:p>
          <w:p w:rsidR="00CF1538" w:rsidRPr="003F062A" w:rsidRDefault="00CF1538" w:rsidP="007566C4">
            <w:pPr>
              <w:spacing w:after="0" w:line="240" w:lineRule="auto"/>
              <w:jc w:val="both"/>
              <w:rPr>
                <w:rFonts w:ascii="Arial" w:eastAsia="PMingLiU" w:hAnsi="Arial" w:cs="Arial"/>
                <w:b/>
                <w:lang w:eastAsia="zh-TW"/>
              </w:rPr>
            </w:pPr>
          </w:p>
        </w:tc>
        <w:tc>
          <w:tcPr>
            <w:tcW w:w="6159" w:type="dxa"/>
          </w:tcPr>
          <w:p w:rsidR="00CF1538" w:rsidRPr="009E00A3" w:rsidRDefault="00CF1538" w:rsidP="007566C4">
            <w:pPr>
              <w:spacing w:after="0" w:line="240" w:lineRule="auto"/>
              <w:jc w:val="both"/>
              <w:rPr>
                <w:rFonts w:ascii="Arial" w:hAnsi="Arial" w:cs="Arial"/>
              </w:rPr>
            </w:pPr>
            <w:r w:rsidRPr="009E00A3">
              <w:rPr>
                <w:rFonts w:ascii="Arial" w:hAnsi="Arial" w:cs="Arial"/>
              </w:rPr>
              <w:t xml:space="preserve">Wsparcie dodatkowym dofinansowaniem usług rozwojowych kończących się nabyciem lub potwierdzeniem kwalifikacji, wynika ze szczególnej potrzeby premiowania tych usług, które bezpośrednio mogą przyczynić się do poprawy konkurencyjności MŚP. Zarówno Rejestr Usług Rozwojowych jak również Podmiotowy System Finansowania usług rozwojowych powinny zostać ściśle powiązane z Krajową Ramą Kwalifikacji. W szczególności, usługi szkoleniowe zarejestrowane w RUR powinny być obligatoryjnie opisane językiem efektów uczenia się oraz odwoływać się do warunków walidacji określonych w ustawie o Zintegrowanym Systemie Kwalifikacji. Wsparcie w postaci zwiększenia o 10 % dofinansowania usługi rozwojowej skierowanej do osób o niskich kwalifikacjach oraz osób w </w:t>
            </w:r>
            <w:r w:rsidRPr="009E00A3">
              <w:rPr>
                <w:rFonts w:ascii="Arial" w:hAnsi="Arial" w:cs="Arial"/>
              </w:rPr>
              <w:lastRenderedPageBreak/>
              <w:t>wieku powyżej 50</w:t>
            </w:r>
            <w:r>
              <w:rPr>
                <w:rFonts w:ascii="Arial" w:hAnsi="Arial" w:cs="Arial"/>
              </w:rPr>
              <w:t xml:space="preserve"> </w:t>
            </w:r>
            <w:r w:rsidRPr="009E00A3">
              <w:rPr>
                <w:rFonts w:ascii="Arial" w:hAnsi="Arial" w:cs="Arial"/>
              </w:rPr>
              <w:t>r. ż., wynika bezpośrednio z faktu, iż grupy te zostały zidentyfikowane, jako szczególnie defaworyzowane na rynku pracy w województwie podkarpackim.</w:t>
            </w:r>
          </w:p>
          <w:p w:rsidR="00CF1538" w:rsidRPr="003F062A" w:rsidRDefault="00CF1538" w:rsidP="007566C4">
            <w:pPr>
              <w:spacing w:line="240" w:lineRule="auto"/>
              <w:jc w:val="both"/>
              <w:rPr>
                <w:rFonts w:ascii="Arial" w:eastAsia="PMingLiU" w:hAnsi="Arial" w:cs="Arial"/>
                <w:lang w:eastAsia="zh-TW"/>
              </w:rPr>
            </w:pPr>
            <w:r w:rsidRPr="009E00A3">
              <w:rPr>
                <w:rFonts w:ascii="Arial" w:hAnsi="Arial" w:cs="Arial"/>
              </w:rPr>
              <w:t>Weryfikacja spełnienia kryterium będzie odbywać się na podstawie treści wniosku o dofinansowanie projektu. Zaleca się, aby zapisy świadczące o spełnieniu niniejszego kryterium zostały zawarte w punkcie 3.2 wniosku.</w:t>
            </w:r>
          </w:p>
        </w:tc>
        <w:tc>
          <w:tcPr>
            <w:tcW w:w="2781" w:type="dxa"/>
            <w:vAlign w:val="center"/>
          </w:tcPr>
          <w:p w:rsidR="00CF1538" w:rsidRPr="004A149C" w:rsidRDefault="00CF1538" w:rsidP="007566C4">
            <w:pPr>
              <w:spacing w:after="0" w:line="240" w:lineRule="auto"/>
              <w:jc w:val="center"/>
              <w:rPr>
                <w:rFonts w:ascii="Arial" w:eastAsia="PMingLiU" w:hAnsi="Arial" w:cs="Arial"/>
                <w:b/>
                <w:lang w:eastAsia="zh-TW"/>
              </w:rPr>
            </w:pPr>
          </w:p>
        </w:tc>
      </w:tr>
      <w:tr w:rsidR="00CF1538" w:rsidRPr="004A149C" w:rsidTr="007566C4">
        <w:tc>
          <w:tcPr>
            <w:tcW w:w="558" w:type="dxa"/>
          </w:tcPr>
          <w:p w:rsidR="00CF1538" w:rsidRPr="006C1556" w:rsidRDefault="00CF1538" w:rsidP="007566C4">
            <w:pPr>
              <w:spacing w:after="0" w:line="240" w:lineRule="auto"/>
              <w:ind w:right="34"/>
              <w:rPr>
                <w:rFonts w:ascii="Arial" w:eastAsia="PMingLiU" w:hAnsi="Arial" w:cs="Arial"/>
                <w:b/>
                <w:lang w:eastAsia="zh-TW"/>
              </w:rPr>
            </w:pPr>
            <w:r>
              <w:rPr>
                <w:rFonts w:ascii="Arial" w:eastAsia="PMingLiU" w:hAnsi="Arial" w:cs="Arial"/>
                <w:b/>
                <w:lang w:eastAsia="zh-TW"/>
              </w:rPr>
              <w:lastRenderedPageBreak/>
              <w:t>8</w:t>
            </w:r>
            <w:r w:rsidRPr="006C1556">
              <w:rPr>
                <w:rFonts w:ascii="Arial" w:eastAsia="PMingLiU" w:hAnsi="Arial" w:cs="Arial"/>
                <w:b/>
                <w:lang w:eastAsia="zh-TW"/>
              </w:rPr>
              <w:t>.</w:t>
            </w:r>
          </w:p>
        </w:tc>
        <w:tc>
          <w:tcPr>
            <w:tcW w:w="4496" w:type="dxa"/>
          </w:tcPr>
          <w:p w:rsidR="00CF1538" w:rsidRPr="004A149C" w:rsidRDefault="00CF1538" w:rsidP="007566C4">
            <w:pPr>
              <w:spacing w:after="0" w:line="240" w:lineRule="auto"/>
              <w:jc w:val="both"/>
              <w:rPr>
                <w:rFonts w:ascii="Arial" w:eastAsia="PMingLiU" w:hAnsi="Arial" w:cs="Arial"/>
                <w:b/>
                <w:lang w:eastAsia="zh-TW"/>
              </w:rPr>
            </w:pPr>
            <w:r w:rsidRPr="004A149C">
              <w:rPr>
                <w:rFonts w:ascii="Arial" w:eastAsia="PMingLiU" w:hAnsi="Arial" w:cs="Arial"/>
                <w:b/>
                <w:lang w:eastAsia="zh-TW"/>
              </w:rPr>
              <w:t xml:space="preserve">Beneficjent (operator) (jeden podmiot może wystąpić maksymalnie cztery razy zarówno, jako Lider, jak i Partner) składa nie więcej niż cztery wnioski o dofinansowanie projektu </w:t>
            </w:r>
            <w:r w:rsidRPr="004A149C">
              <w:rPr>
                <w:rFonts w:ascii="Arial" w:eastAsia="PMingLiU" w:hAnsi="Arial" w:cs="Arial"/>
                <w:b/>
                <w:lang w:eastAsia="zh-TW"/>
              </w:rPr>
              <w:br/>
              <w:t>w ramach danego konkursu – po jednym na każdy z subregionów, przy czym możliwe jest podpisanie umowy tylko z jednym beneficjentem (operatorem) na jeden subregion, niezależnie od liczby projektów beneficjenta (operatora), które zostały ocenione pozytywnie.</w:t>
            </w:r>
          </w:p>
        </w:tc>
        <w:tc>
          <w:tcPr>
            <w:tcW w:w="6159" w:type="dxa"/>
          </w:tcPr>
          <w:p w:rsidR="00CF1538" w:rsidRPr="004A149C" w:rsidRDefault="00CF1538" w:rsidP="007566C4">
            <w:pPr>
              <w:spacing w:line="240" w:lineRule="auto"/>
              <w:jc w:val="both"/>
              <w:rPr>
                <w:rFonts w:ascii="Arial" w:eastAsia="PMingLiU" w:hAnsi="Arial" w:cs="Arial"/>
                <w:lang w:eastAsia="zh-TW"/>
              </w:rPr>
            </w:pPr>
            <w:r w:rsidRPr="004A149C">
              <w:rPr>
                <w:rFonts w:ascii="Arial" w:eastAsia="PMingLiU" w:hAnsi="Arial" w:cs="Arial"/>
                <w:lang w:eastAsia="zh-TW"/>
              </w:rPr>
              <w:t xml:space="preserve">Kryterium to, z jednej strony ułatwi ocenę zdolności beneficjenta (operatora) do realizacji projektu (ocena zdolności finansowej i zapewnienia wymaganej liczby odpowiednio wykwalifikowanych pracowników), z drugiej zaś ograniczy liczbę projektów, składanych przez jednego beneficjenta (operatora) i zapewni możliwość złożenia projektów dla każdego z wskazanych subregionów. Określenie ww. kryterium ma również na celu realizację wsparcia przez niezależne od siebie podmioty, na terenie poszczególnych subregionów, co z kolei pozwoli na minimalizację ryzyka niewłaściwej realizacji przedmiotowych projektów, w sytuacji gdy pojedynczy operator (z różnych względów), nie będzie mógł prawidłowo wdrażać zaplanowanych przedsięwzięć. Zaprzestanie działań na terenie jednego z subregionów nie będzie skutkowało brakiem wsparcia w pozostałej części województwa. </w:t>
            </w:r>
          </w:p>
          <w:p w:rsidR="00CF1538" w:rsidRPr="004A149C" w:rsidRDefault="00CF1538" w:rsidP="007566C4">
            <w:pPr>
              <w:spacing w:line="240" w:lineRule="auto"/>
              <w:jc w:val="both"/>
              <w:rPr>
                <w:rFonts w:ascii="Arial" w:eastAsia="PMingLiU" w:hAnsi="Arial" w:cs="Arial"/>
                <w:lang w:eastAsia="zh-TW"/>
              </w:rPr>
            </w:pPr>
            <w:r w:rsidRPr="004A149C">
              <w:rPr>
                <w:rFonts w:ascii="Arial" w:eastAsia="PMingLiU" w:hAnsi="Arial" w:cs="Arial"/>
                <w:lang w:eastAsia="zh-TW"/>
              </w:rPr>
              <w:t>Weryfikacja spełnienia kryterium będzie odbywać się na podstawie treści wniosku o dofinansowanie projektu. Zapisy świadczące o spełnieniu niniejszego kryterium będą weryfikowane na podstawie informacji, zawartych w punktach 2.1 i 2.10 wniosku oraz rejestru wnio</w:t>
            </w:r>
            <w:r>
              <w:rPr>
                <w:rFonts w:ascii="Arial" w:eastAsia="PMingLiU" w:hAnsi="Arial" w:cs="Arial"/>
                <w:lang w:eastAsia="zh-TW"/>
              </w:rPr>
              <w:t>sków o dofinansowanie projektu.</w:t>
            </w:r>
          </w:p>
        </w:tc>
        <w:tc>
          <w:tcPr>
            <w:tcW w:w="2781" w:type="dxa"/>
            <w:vAlign w:val="center"/>
          </w:tcPr>
          <w:p w:rsidR="00CF1538" w:rsidRPr="004A149C" w:rsidRDefault="00CF1538" w:rsidP="007566C4">
            <w:pPr>
              <w:spacing w:after="0" w:line="240" w:lineRule="auto"/>
              <w:jc w:val="center"/>
              <w:rPr>
                <w:rFonts w:ascii="Arial" w:eastAsia="PMingLiU" w:hAnsi="Arial" w:cs="Arial"/>
                <w:b/>
                <w:lang w:eastAsia="zh-TW"/>
              </w:rPr>
            </w:pPr>
            <w:r w:rsidRPr="004A149C">
              <w:rPr>
                <w:rFonts w:ascii="Arial" w:eastAsia="PMingLiU" w:hAnsi="Arial" w:cs="Arial"/>
                <w:b/>
                <w:lang w:eastAsia="zh-TW"/>
              </w:rPr>
              <w:t>TAK/ NIE</w:t>
            </w:r>
          </w:p>
          <w:p w:rsidR="00CF1538" w:rsidRPr="004A149C" w:rsidRDefault="00CF1538" w:rsidP="007566C4">
            <w:pPr>
              <w:spacing w:after="0" w:line="240" w:lineRule="auto"/>
              <w:jc w:val="center"/>
              <w:rPr>
                <w:rFonts w:ascii="Arial" w:eastAsia="PMingLiU" w:hAnsi="Arial" w:cs="Arial"/>
                <w:b/>
                <w:lang w:eastAsia="zh-TW"/>
              </w:rPr>
            </w:pPr>
          </w:p>
          <w:p w:rsidR="00CF1538" w:rsidRPr="000042A1" w:rsidRDefault="00CF1538" w:rsidP="007566C4">
            <w:pPr>
              <w:spacing w:after="0" w:line="240" w:lineRule="auto"/>
              <w:jc w:val="center"/>
              <w:rPr>
                <w:rFonts w:ascii="Arial" w:eastAsia="PMingLiU" w:hAnsi="Arial" w:cs="Arial"/>
                <w:lang w:eastAsia="zh-TW"/>
              </w:rPr>
            </w:pPr>
            <w:r w:rsidRPr="000042A1">
              <w:rPr>
                <w:rFonts w:ascii="Arial" w:eastAsia="PMingLiU" w:hAnsi="Arial" w:cs="Arial"/>
                <w:lang w:eastAsia="zh-TW"/>
              </w:rPr>
              <w:t>Niespełnienie kryterium skutkuje odrzuceniem wniosku</w:t>
            </w:r>
          </w:p>
        </w:tc>
      </w:tr>
      <w:tr w:rsidR="00CF1538" w:rsidRPr="004A149C" w:rsidTr="007566C4">
        <w:tc>
          <w:tcPr>
            <w:tcW w:w="558" w:type="dxa"/>
          </w:tcPr>
          <w:p w:rsidR="00CF1538" w:rsidRPr="006C1556" w:rsidRDefault="00CF1538" w:rsidP="007566C4">
            <w:pPr>
              <w:spacing w:after="0" w:line="240" w:lineRule="auto"/>
              <w:ind w:right="34"/>
              <w:rPr>
                <w:rFonts w:ascii="Arial" w:eastAsia="PMingLiU" w:hAnsi="Arial" w:cs="Arial"/>
                <w:b/>
                <w:lang w:eastAsia="zh-TW"/>
              </w:rPr>
            </w:pPr>
            <w:r>
              <w:rPr>
                <w:rFonts w:ascii="Arial" w:eastAsia="PMingLiU" w:hAnsi="Arial" w:cs="Arial"/>
                <w:b/>
                <w:lang w:eastAsia="zh-TW"/>
              </w:rPr>
              <w:t>9</w:t>
            </w:r>
            <w:r w:rsidRPr="006C1556">
              <w:rPr>
                <w:rFonts w:ascii="Arial" w:eastAsia="PMingLiU" w:hAnsi="Arial" w:cs="Arial"/>
                <w:b/>
                <w:lang w:eastAsia="zh-TW"/>
              </w:rPr>
              <w:t>.</w:t>
            </w:r>
          </w:p>
        </w:tc>
        <w:tc>
          <w:tcPr>
            <w:tcW w:w="4496" w:type="dxa"/>
          </w:tcPr>
          <w:p w:rsidR="00CF1538" w:rsidRPr="004A149C" w:rsidRDefault="00CF1538" w:rsidP="007566C4">
            <w:pPr>
              <w:spacing w:after="0" w:line="240" w:lineRule="auto"/>
              <w:jc w:val="both"/>
              <w:rPr>
                <w:rFonts w:ascii="Arial" w:eastAsia="PMingLiU" w:hAnsi="Arial" w:cs="Arial"/>
                <w:b/>
                <w:lang w:eastAsia="zh-TW"/>
              </w:rPr>
            </w:pPr>
            <w:r w:rsidRPr="004A149C">
              <w:rPr>
                <w:rFonts w:ascii="Arial" w:eastAsia="PMingLiU" w:hAnsi="Arial" w:cs="Arial"/>
                <w:b/>
                <w:lang w:eastAsia="zh-TW"/>
              </w:rPr>
              <w:t xml:space="preserve">Beneficjent (operator) i/lub Partner na </w:t>
            </w:r>
            <w:r w:rsidRPr="004A149C">
              <w:rPr>
                <w:rFonts w:ascii="Arial" w:eastAsia="PMingLiU" w:hAnsi="Arial" w:cs="Arial"/>
                <w:b/>
                <w:lang w:eastAsia="zh-TW"/>
              </w:rPr>
              <w:lastRenderedPageBreak/>
              <w:t xml:space="preserve">dzień złożenia wniosku o dofinansowanie posiada, co najmniej dwuletnie doświadczenie w prowadzeniu działalności w obszarze merytorycznym, którego dotyczy projekt, (jako instytucja otoczenia biznesu. </w:t>
            </w:r>
          </w:p>
        </w:tc>
        <w:tc>
          <w:tcPr>
            <w:tcW w:w="6159" w:type="dxa"/>
          </w:tcPr>
          <w:p w:rsidR="00CF1538" w:rsidRPr="004A149C" w:rsidRDefault="00CF1538" w:rsidP="007566C4">
            <w:pPr>
              <w:autoSpaceDE w:val="0"/>
              <w:autoSpaceDN w:val="0"/>
              <w:adjustRightInd w:val="0"/>
              <w:spacing w:after="0" w:line="240" w:lineRule="auto"/>
              <w:jc w:val="both"/>
              <w:rPr>
                <w:rFonts w:ascii="Arial" w:eastAsia="PMingLiU" w:hAnsi="Arial" w:cs="Arial"/>
                <w:color w:val="000000"/>
                <w:lang w:eastAsia="zh-TW"/>
              </w:rPr>
            </w:pPr>
            <w:r w:rsidRPr="004A149C">
              <w:rPr>
                <w:rFonts w:ascii="Arial" w:eastAsia="PMingLiU" w:hAnsi="Arial" w:cs="Arial"/>
                <w:color w:val="000000"/>
                <w:lang w:eastAsia="zh-TW"/>
              </w:rPr>
              <w:lastRenderedPageBreak/>
              <w:t xml:space="preserve">Doświadczenie Beneficjentów jako instytucji otoczenia </w:t>
            </w:r>
            <w:r w:rsidRPr="004A149C">
              <w:rPr>
                <w:rFonts w:ascii="Arial" w:eastAsia="PMingLiU" w:hAnsi="Arial" w:cs="Arial"/>
                <w:color w:val="000000"/>
                <w:lang w:eastAsia="zh-TW"/>
              </w:rPr>
              <w:lastRenderedPageBreak/>
              <w:t xml:space="preserve">biznesu, związane z realizacją przedsięwzięć w zakresie wsparcia dla przedsiębiorców (np. świadczenie usług na rzecz MSP, obsługa dużej liczby uczestników, koordynacja wielopoziomowego wsparcia dla firm lub uczestników indywidualnych, tworzenie systemów dystrybucji środków finansowych itp.) ułatwi sprawną i skuteczną realizację zaplanowanych działań, skierowanych do przedsiębiorstw, zainteresowanych skorzystaniem z Podmiotowego Systemu Finansowania. Beneficjenci, realizujący działania w w/w obszarach, posiadają sprawnie funkcjonujące procedury, związane z bezpośrednim kontaktem z podkarpackimi firmami, doświadczenie, niezbędne przy spełnieniu wymogów odnośnie udzielania pomocy publicznej przedsiębiorcom, co jest koniecznym warunkiem dla sprawnej realizacji działań projektowych, związanych z Podmiotowym Systemem Finansowania. Beneficjent – operator będzie zobowiązany do szerokiego i pogłębionego przedstawienia we wniosku posiadanego doświadczenia oraz – na wezwanie IOK – przedstawienia stosownych dokumentów (np. umów, referencji, opinii, rekomendacji i in.) z jednostek, mogących potwierdzić wskazane we wniosku doświadczenie. </w:t>
            </w:r>
          </w:p>
          <w:p w:rsidR="00CF1538" w:rsidRPr="004A149C" w:rsidRDefault="00CF1538" w:rsidP="007566C4">
            <w:pPr>
              <w:autoSpaceDE w:val="0"/>
              <w:autoSpaceDN w:val="0"/>
              <w:adjustRightInd w:val="0"/>
              <w:spacing w:after="0" w:line="240" w:lineRule="auto"/>
              <w:jc w:val="both"/>
              <w:rPr>
                <w:rFonts w:ascii="Arial" w:eastAsia="PMingLiU" w:hAnsi="Arial" w:cs="Arial"/>
                <w:color w:val="000000"/>
                <w:lang w:eastAsia="zh-TW"/>
              </w:rPr>
            </w:pPr>
          </w:p>
          <w:p w:rsidR="00CF1538" w:rsidRPr="004A149C" w:rsidRDefault="00CF1538" w:rsidP="007566C4">
            <w:pPr>
              <w:spacing w:line="240" w:lineRule="auto"/>
              <w:jc w:val="both"/>
              <w:rPr>
                <w:rFonts w:ascii="Arial" w:eastAsia="PMingLiU" w:hAnsi="Arial" w:cs="Arial"/>
                <w:lang w:eastAsia="zh-TW"/>
              </w:rPr>
            </w:pPr>
            <w:r w:rsidRPr="004A149C">
              <w:rPr>
                <w:rFonts w:ascii="Arial" w:eastAsia="PMingLiU" w:hAnsi="Arial" w:cs="Arial"/>
                <w:lang w:eastAsia="zh-TW"/>
              </w:rPr>
              <w:t>Weryfikacja spełnienia kryterium będzie odbywać się na podstawie treści wniosku o dofinansowanie projektu. Zaleca się, aby zapisy świadczące o spełnieniu niniejszego kryterium zostały zawarte w punkcie 4.4 wniosku.</w:t>
            </w:r>
          </w:p>
        </w:tc>
        <w:tc>
          <w:tcPr>
            <w:tcW w:w="2781" w:type="dxa"/>
            <w:vAlign w:val="center"/>
          </w:tcPr>
          <w:p w:rsidR="00CF1538" w:rsidRPr="004A149C" w:rsidRDefault="00CF1538" w:rsidP="007566C4">
            <w:pPr>
              <w:spacing w:after="0" w:line="240" w:lineRule="auto"/>
              <w:jc w:val="center"/>
              <w:rPr>
                <w:rFonts w:ascii="Arial" w:eastAsia="PMingLiU" w:hAnsi="Arial" w:cs="Arial"/>
                <w:b/>
                <w:lang w:eastAsia="zh-TW"/>
              </w:rPr>
            </w:pPr>
            <w:r w:rsidRPr="004A149C">
              <w:rPr>
                <w:rFonts w:ascii="Arial" w:eastAsia="PMingLiU" w:hAnsi="Arial" w:cs="Arial"/>
                <w:b/>
                <w:lang w:eastAsia="zh-TW"/>
              </w:rPr>
              <w:lastRenderedPageBreak/>
              <w:t>TAK/ NIE</w:t>
            </w:r>
          </w:p>
          <w:p w:rsidR="00CF1538" w:rsidRPr="004A149C" w:rsidRDefault="00CF1538" w:rsidP="007566C4">
            <w:pPr>
              <w:spacing w:after="0" w:line="240" w:lineRule="auto"/>
              <w:jc w:val="center"/>
              <w:rPr>
                <w:rFonts w:ascii="Arial" w:eastAsia="PMingLiU" w:hAnsi="Arial" w:cs="Arial"/>
                <w:b/>
                <w:lang w:eastAsia="zh-TW"/>
              </w:rPr>
            </w:pPr>
          </w:p>
          <w:p w:rsidR="00CF1538" w:rsidRPr="000042A1" w:rsidRDefault="00CF1538" w:rsidP="007566C4">
            <w:pPr>
              <w:spacing w:after="0" w:line="240" w:lineRule="auto"/>
              <w:jc w:val="center"/>
              <w:rPr>
                <w:rFonts w:ascii="Arial" w:eastAsia="PMingLiU" w:hAnsi="Arial" w:cs="Arial"/>
                <w:lang w:eastAsia="zh-TW"/>
              </w:rPr>
            </w:pPr>
            <w:r w:rsidRPr="000042A1">
              <w:rPr>
                <w:rFonts w:ascii="Arial" w:eastAsia="PMingLiU" w:hAnsi="Arial" w:cs="Arial"/>
                <w:lang w:eastAsia="zh-TW"/>
              </w:rPr>
              <w:t>Niespełnienie kryterium skutkuje odrzuceniem wniosku</w:t>
            </w:r>
          </w:p>
        </w:tc>
      </w:tr>
      <w:tr w:rsidR="00CF1538" w:rsidRPr="004A149C" w:rsidTr="007566C4">
        <w:tc>
          <w:tcPr>
            <w:tcW w:w="558" w:type="dxa"/>
          </w:tcPr>
          <w:p w:rsidR="00CF1538" w:rsidRPr="006C1556" w:rsidRDefault="00CF1538" w:rsidP="007566C4">
            <w:pPr>
              <w:spacing w:after="0" w:line="240" w:lineRule="auto"/>
              <w:ind w:right="34"/>
              <w:rPr>
                <w:rFonts w:ascii="Arial" w:eastAsia="PMingLiU" w:hAnsi="Arial" w:cs="Arial"/>
                <w:b/>
                <w:lang w:eastAsia="zh-TW"/>
              </w:rPr>
            </w:pPr>
            <w:r>
              <w:rPr>
                <w:rFonts w:ascii="Arial" w:eastAsia="PMingLiU" w:hAnsi="Arial" w:cs="Arial"/>
                <w:b/>
                <w:lang w:eastAsia="zh-TW"/>
              </w:rPr>
              <w:lastRenderedPageBreak/>
              <w:t>10</w:t>
            </w:r>
            <w:r w:rsidRPr="006C1556">
              <w:rPr>
                <w:rFonts w:ascii="Arial" w:eastAsia="PMingLiU" w:hAnsi="Arial" w:cs="Arial"/>
                <w:b/>
                <w:lang w:eastAsia="zh-TW"/>
              </w:rPr>
              <w:t>.</w:t>
            </w:r>
          </w:p>
        </w:tc>
        <w:tc>
          <w:tcPr>
            <w:tcW w:w="4496" w:type="dxa"/>
          </w:tcPr>
          <w:p w:rsidR="00CF1538" w:rsidRPr="004A149C" w:rsidRDefault="00CF1538" w:rsidP="007566C4">
            <w:pPr>
              <w:spacing w:after="0" w:line="240" w:lineRule="auto"/>
              <w:jc w:val="both"/>
              <w:rPr>
                <w:rFonts w:ascii="Arial" w:eastAsia="PMingLiU" w:hAnsi="Arial" w:cs="Arial"/>
                <w:b/>
                <w:lang w:eastAsia="zh-TW"/>
              </w:rPr>
            </w:pPr>
            <w:r w:rsidRPr="004A149C">
              <w:rPr>
                <w:rFonts w:ascii="Arial" w:eastAsia="PMingLiU" w:hAnsi="Arial" w:cs="Arial"/>
                <w:b/>
                <w:lang w:eastAsia="zh-TW"/>
              </w:rPr>
              <w:t>Projekt zakłada realizację wsparcia w oparciu o funkcjonujący Rejestr Usług Rozwojowych.</w:t>
            </w:r>
          </w:p>
        </w:tc>
        <w:tc>
          <w:tcPr>
            <w:tcW w:w="6159" w:type="dxa"/>
          </w:tcPr>
          <w:p w:rsidR="00CF1538" w:rsidRPr="004A149C" w:rsidRDefault="00CF1538" w:rsidP="007566C4">
            <w:pPr>
              <w:spacing w:after="0" w:line="240" w:lineRule="auto"/>
              <w:jc w:val="both"/>
              <w:rPr>
                <w:rFonts w:ascii="Arial" w:eastAsia="PMingLiU" w:hAnsi="Arial" w:cs="Arial"/>
                <w:i/>
                <w:lang w:eastAsia="zh-TW"/>
              </w:rPr>
            </w:pPr>
            <w:r w:rsidRPr="004A149C">
              <w:rPr>
                <w:rFonts w:ascii="Arial" w:eastAsia="PMingLiU" w:hAnsi="Arial" w:cs="Arial"/>
                <w:lang w:eastAsia="zh-TW"/>
              </w:rPr>
              <w:t xml:space="preserve">Wsparcie w ramach Podmiotowych Systemów Finansowania musi być realizowane zgodnie z krajowymi </w:t>
            </w:r>
            <w:r w:rsidRPr="004A149C">
              <w:rPr>
                <w:rFonts w:ascii="Arial" w:eastAsia="PMingLiU" w:hAnsi="Arial" w:cs="Arial"/>
                <w:i/>
                <w:lang w:eastAsia="zh-TW"/>
              </w:rPr>
              <w:t>Wytycznymi w zakresie realizacji przedsięwzięć z udziałem Europejskiego Funduszu Społecznego w obszarze przystosowania przedsiębiorstw i pracowników do zmian na lata 2014-2020</w:t>
            </w:r>
          </w:p>
          <w:p w:rsidR="00CF1538" w:rsidRPr="004A149C" w:rsidRDefault="00CF1538" w:rsidP="007566C4">
            <w:pPr>
              <w:spacing w:after="0" w:line="240" w:lineRule="auto"/>
              <w:jc w:val="both"/>
              <w:rPr>
                <w:rFonts w:ascii="Arial" w:eastAsia="PMingLiU" w:hAnsi="Arial" w:cs="Arial"/>
                <w:i/>
                <w:lang w:eastAsia="zh-TW"/>
              </w:rPr>
            </w:pPr>
          </w:p>
          <w:p w:rsidR="00CF1538" w:rsidRPr="004A149C" w:rsidRDefault="00CF1538" w:rsidP="007566C4">
            <w:pPr>
              <w:spacing w:line="240" w:lineRule="auto"/>
              <w:jc w:val="both"/>
              <w:rPr>
                <w:rFonts w:ascii="Arial" w:eastAsia="PMingLiU" w:hAnsi="Arial" w:cs="Arial"/>
                <w:lang w:eastAsia="zh-TW"/>
              </w:rPr>
            </w:pPr>
            <w:r w:rsidRPr="004A149C">
              <w:rPr>
                <w:rFonts w:ascii="Arial" w:eastAsia="PMingLiU" w:hAnsi="Arial" w:cs="Arial"/>
                <w:lang w:eastAsia="zh-TW"/>
              </w:rPr>
              <w:lastRenderedPageBreak/>
              <w:t>Weryfikacja spełnienia kryterium będzie odbywać się na podstawie treści wniosku o dofinansowanie projektu. Zaleca się, aby zapisy świadczące o spełnieniu niniejszego kryterium zostały zawarte w punkcie 4.1 wniosku.</w:t>
            </w:r>
          </w:p>
          <w:p w:rsidR="00CF1538" w:rsidRPr="004A149C" w:rsidRDefault="00CF1538" w:rsidP="007566C4">
            <w:pPr>
              <w:spacing w:after="0" w:line="240" w:lineRule="auto"/>
              <w:jc w:val="both"/>
              <w:rPr>
                <w:rFonts w:ascii="Arial" w:eastAsia="PMingLiU" w:hAnsi="Arial" w:cs="Arial"/>
                <w:lang w:eastAsia="zh-TW"/>
              </w:rPr>
            </w:pPr>
          </w:p>
        </w:tc>
        <w:tc>
          <w:tcPr>
            <w:tcW w:w="2781" w:type="dxa"/>
            <w:vAlign w:val="center"/>
          </w:tcPr>
          <w:p w:rsidR="00CF1538" w:rsidRPr="004A149C" w:rsidRDefault="00CF1538" w:rsidP="007566C4">
            <w:pPr>
              <w:spacing w:after="0" w:line="240" w:lineRule="auto"/>
              <w:jc w:val="center"/>
              <w:rPr>
                <w:rFonts w:ascii="Arial" w:eastAsia="PMingLiU" w:hAnsi="Arial" w:cs="Arial"/>
                <w:b/>
                <w:lang w:eastAsia="zh-TW"/>
              </w:rPr>
            </w:pPr>
            <w:r w:rsidRPr="004A149C">
              <w:rPr>
                <w:rFonts w:ascii="Arial" w:eastAsia="PMingLiU" w:hAnsi="Arial" w:cs="Arial"/>
                <w:b/>
                <w:lang w:eastAsia="zh-TW"/>
              </w:rPr>
              <w:lastRenderedPageBreak/>
              <w:t>TAK/ NIE</w:t>
            </w:r>
          </w:p>
          <w:p w:rsidR="00CF1538" w:rsidRPr="004A149C" w:rsidRDefault="00CF1538" w:rsidP="007566C4">
            <w:pPr>
              <w:spacing w:after="0" w:line="240" w:lineRule="auto"/>
              <w:jc w:val="center"/>
              <w:rPr>
                <w:rFonts w:ascii="Arial" w:eastAsia="PMingLiU" w:hAnsi="Arial" w:cs="Arial"/>
                <w:b/>
                <w:lang w:eastAsia="zh-TW"/>
              </w:rPr>
            </w:pPr>
          </w:p>
          <w:p w:rsidR="00CF1538" w:rsidRPr="000042A1" w:rsidRDefault="00CF1538" w:rsidP="007566C4">
            <w:pPr>
              <w:spacing w:after="0" w:line="240" w:lineRule="auto"/>
              <w:jc w:val="center"/>
              <w:rPr>
                <w:rFonts w:ascii="Arial" w:eastAsia="PMingLiU" w:hAnsi="Arial" w:cs="Arial"/>
                <w:lang w:eastAsia="zh-TW"/>
              </w:rPr>
            </w:pPr>
            <w:r w:rsidRPr="000042A1">
              <w:rPr>
                <w:rFonts w:ascii="Arial" w:eastAsia="PMingLiU" w:hAnsi="Arial" w:cs="Arial"/>
                <w:lang w:eastAsia="zh-TW"/>
              </w:rPr>
              <w:t>Niespełnienie kryterium skutkuje odrzuceniem wniosku</w:t>
            </w:r>
          </w:p>
        </w:tc>
      </w:tr>
      <w:tr w:rsidR="00CF1538" w:rsidRPr="004A149C" w:rsidTr="007566C4">
        <w:tc>
          <w:tcPr>
            <w:tcW w:w="558" w:type="dxa"/>
          </w:tcPr>
          <w:p w:rsidR="00CF1538" w:rsidRPr="006C1556" w:rsidRDefault="00CF1538" w:rsidP="007566C4">
            <w:pPr>
              <w:spacing w:after="0" w:line="240" w:lineRule="auto"/>
              <w:ind w:right="34"/>
              <w:rPr>
                <w:rFonts w:ascii="Arial" w:eastAsia="PMingLiU" w:hAnsi="Arial" w:cs="Arial"/>
                <w:b/>
                <w:lang w:eastAsia="zh-TW"/>
              </w:rPr>
            </w:pPr>
            <w:r>
              <w:rPr>
                <w:rFonts w:ascii="Arial" w:eastAsia="PMingLiU" w:hAnsi="Arial" w:cs="Arial"/>
                <w:b/>
                <w:lang w:eastAsia="zh-TW"/>
              </w:rPr>
              <w:lastRenderedPageBreak/>
              <w:t>11</w:t>
            </w:r>
            <w:r w:rsidRPr="006C1556">
              <w:rPr>
                <w:rFonts w:ascii="Arial" w:eastAsia="PMingLiU" w:hAnsi="Arial" w:cs="Arial"/>
                <w:b/>
                <w:lang w:eastAsia="zh-TW"/>
              </w:rPr>
              <w:t>.</w:t>
            </w:r>
          </w:p>
        </w:tc>
        <w:tc>
          <w:tcPr>
            <w:tcW w:w="4496" w:type="dxa"/>
          </w:tcPr>
          <w:p w:rsidR="00CF1538" w:rsidRPr="004A149C" w:rsidRDefault="00CF1538" w:rsidP="007566C4">
            <w:pPr>
              <w:spacing w:after="0" w:line="240" w:lineRule="auto"/>
              <w:jc w:val="both"/>
              <w:rPr>
                <w:rFonts w:ascii="Arial" w:eastAsia="PMingLiU" w:hAnsi="Arial" w:cs="Arial"/>
                <w:b/>
                <w:lang w:eastAsia="zh-TW"/>
              </w:rPr>
            </w:pPr>
            <w:r w:rsidRPr="004A149C">
              <w:rPr>
                <w:rFonts w:ascii="Arial" w:eastAsia="PMingLiU" w:hAnsi="Arial" w:cs="Arial"/>
                <w:b/>
                <w:lang w:eastAsia="zh-TW"/>
              </w:rPr>
              <w:t xml:space="preserve">Okres realizacji projektu wynosi minimum 24 miesiące oraz kończy się nie wcześniej niż 31.12.2018 r. </w:t>
            </w:r>
          </w:p>
        </w:tc>
        <w:tc>
          <w:tcPr>
            <w:tcW w:w="6159" w:type="dxa"/>
          </w:tcPr>
          <w:p w:rsidR="00CF1538" w:rsidRPr="004A149C" w:rsidRDefault="00CF1538" w:rsidP="007566C4">
            <w:pPr>
              <w:spacing w:after="0" w:line="240" w:lineRule="auto"/>
              <w:jc w:val="both"/>
              <w:rPr>
                <w:rFonts w:ascii="Arial" w:eastAsia="PMingLiU" w:hAnsi="Arial" w:cs="Arial"/>
                <w:lang w:eastAsia="zh-TW"/>
              </w:rPr>
            </w:pPr>
            <w:r w:rsidRPr="004A149C">
              <w:rPr>
                <w:rFonts w:ascii="Arial" w:eastAsia="PMingLiU" w:hAnsi="Arial" w:cs="Arial"/>
                <w:lang w:eastAsia="zh-TW"/>
              </w:rPr>
              <w:t xml:space="preserve">Realizacja projektu w ramach minimalnego okresu czasu umożliwi wytworzenie wśród regionalnych podmiotów gospodarczych świadomości funkcjonowania danego Beneficjenta, jako operatora Podmiotowego Systemu Finansowania w danym subregionie. Ułatwi to również Beneficjentom (operatorom) planowanie długoterminowych działań, związanych z koniecznością zrealizowania określonych wskaźników w ramach danego subregionu województwa. </w:t>
            </w:r>
          </w:p>
          <w:p w:rsidR="00CF1538" w:rsidRPr="004A149C" w:rsidRDefault="00CF1538" w:rsidP="007566C4">
            <w:pPr>
              <w:spacing w:after="0" w:line="240" w:lineRule="auto"/>
              <w:jc w:val="both"/>
              <w:rPr>
                <w:rFonts w:ascii="Arial" w:eastAsia="PMingLiU" w:hAnsi="Arial" w:cs="Arial"/>
                <w:lang w:eastAsia="zh-TW"/>
              </w:rPr>
            </w:pPr>
          </w:p>
          <w:p w:rsidR="00CF1538" w:rsidRPr="004A149C" w:rsidRDefault="00CF1538" w:rsidP="007566C4">
            <w:pPr>
              <w:spacing w:after="0" w:line="240" w:lineRule="auto"/>
              <w:jc w:val="both"/>
              <w:rPr>
                <w:rFonts w:ascii="Arial" w:eastAsia="PMingLiU" w:hAnsi="Arial" w:cs="Arial"/>
                <w:lang w:eastAsia="zh-TW"/>
              </w:rPr>
            </w:pPr>
            <w:r w:rsidRPr="004A149C">
              <w:rPr>
                <w:rFonts w:ascii="Arial" w:eastAsia="PMingLiU" w:hAnsi="Arial" w:cs="Arial"/>
                <w:lang w:eastAsia="zh-TW"/>
              </w:rPr>
              <w:t>Weryfikacja spełnienia kryterium będzie odbywać się na podstawie treści wniosku o dofinansowanie projektu. Zapisy świadczące o spełnieniu niniejszego kryterium będą weryfikowane na podstawie informacji, zawartych w punkcie 1.7 wniosku.</w:t>
            </w:r>
          </w:p>
        </w:tc>
        <w:tc>
          <w:tcPr>
            <w:tcW w:w="2781" w:type="dxa"/>
            <w:vAlign w:val="center"/>
          </w:tcPr>
          <w:p w:rsidR="00CF1538" w:rsidRPr="004A149C" w:rsidRDefault="00CF1538" w:rsidP="007566C4">
            <w:pPr>
              <w:spacing w:after="0" w:line="240" w:lineRule="auto"/>
              <w:jc w:val="center"/>
              <w:rPr>
                <w:rFonts w:ascii="Arial" w:eastAsia="PMingLiU" w:hAnsi="Arial" w:cs="Arial"/>
                <w:b/>
                <w:lang w:eastAsia="zh-TW"/>
              </w:rPr>
            </w:pPr>
            <w:r w:rsidRPr="004A149C">
              <w:rPr>
                <w:rFonts w:ascii="Arial" w:eastAsia="PMingLiU" w:hAnsi="Arial" w:cs="Arial"/>
                <w:b/>
                <w:lang w:eastAsia="zh-TW"/>
              </w:rPr>
              <w:t>TAK/ NIE</w:t>
            </w:r>
          </w:p>
          <w:p w:rsidR="00CF1538" w:rsidRPr="004A149C" w:rsidRDefault="00CF1538" w:rsidP="007566C4">
            <w:pPr>
              <w:spacing w:after="0" w:line="240" w:lineRule="auto"/>
              <w:jc w:val="center"/>
              <w:rPr>
                <w:rFonts w:ascii="Arial" w:eastAsia="PMingLiU" w:hAnsi="Arial" w:cs="Arial"/>
                <w:b/>
                <w:lang w:eastAsia="zh-TW"/>
              </w:rPr>
            </w:pPr>
          </w:p>
          <w:p w:rsidR="00CF1538" w:rsidRPr="000042A1" w:rsidRDefault="00CF1538" w:rsidP="007566C4">
            <w:pPr>
              <w:spacing w:after="0" w:line="240" w:lineRule="auto"/>
              <w:jc w:val="center"/>
              <w:rPr>
                <w:rFonts w:ascii="Arial" w:eastAsia="PMingLiU" w:hAnsi="Arial" w:cs="Arial"/>
                <w:lang w:eastAsia="zh-TW"/>
              </w:rPr>
            </w:pPr>
            <w:r w:rsidRPr="000042A1">
              <w:rPr>
                <w:rFonts w:ascii="Arial" w:eastAsia="PMingLiU" w:hAnsi="Arial" w:cs="Arial"/>
                <w:lang w:eastAsia="zh-TW"/>
              </w:rPr>
              <w:t>Niespełnienie kryterium skutkuje odrzuceniem wniosku</w:t>
            </w:r>
          </w:p>
        </w:tc>
      </w:tr>
      <w:tr w:rsidR="00CF1538" w:rsidRPr="004A149C" w:rsidTr="007566C4">
        <w:tc>
          <w:tcPr>
            <w:tcW w:w="558" w:type="dxa"/>
            <w:tcBorders>
              <w:bottom w:val="single" w:sz="4" w:space="0" w:color="auto"/>
            </w:tcBorders>
          </w:tcPr>
          <w:p w:rsidR="00CF1538" w:rsidRPr="006C1556" w:rsidRDefault="00CF1538" w:rsidP="007566C4">
            <w:pPr>
              <w:spacing w:after="0" w:line="240" w:lineRule="auto"/>
              <w:ind w:right="34"/>
              <w:rPr>
                <w:rFonts w:ascii="Arial" w:eastAsia="PMingLiU" w:hAnsi="Arial" w:cs="Arial"/>
                <w:b/>
                <w:lang w:eastAsia="zh-TW"/>
              </w:rPr>
            </w:pPr>
            <w:r>
              <w:rPr>
                <w:rFonts w:ascii="Arial" w:eastAsia="PMingLiU" w:hAnsi="Arial" w:cs="Arial"/>
                <w:b/>
                <w:lang w:eastAsia="zh-TW"/>
              </w:rPr>
              <w:t>12</w:t>
            </w:r>
            <w:r w:rsidRPr="006C1556">
              <w:rPr>
                <w:rFonts w:ascii="Arial" w:eastAsia="PMingLiU" w:hAnsi="Arial" w:cs="Arial"/>
                <w:b/>
                <w:lang w:eastAsia="zh-TW"/>
              </w:rPr>
              <w:t>.</w:t>
            </w:r>
          </w:p>
        </w:tc>
        <w:tc>
          <w:tcPr>
            <w:tcW w:w="4496" w:type="dxa"/>
          </w:tcPr>
          <w:p w:rsidR="00CF1538" w:rsidRPr="004A149C" w:rsidRDefault="00CF1538" w:rsidP="007566C4">
            <w:pPr>
              <w:spacing w:after="0" w:line="240" w:lineRule="auto"/>
              <w:jc w:val="both"/>
              <w:rPr>
                <w:rFonts w:ascii="Arial" w:eastAsia="PMingLiU" w:hAnsi="Arial" w:cs="Arial"/>
                <w:b/>
                <w:lang w:eastAsia="zh-TW"/>
              </w:rPr>
            </w:pPr>
            <w:r w:rsidRPr="004A149C">
              <w:rPr>
                <w:rFonts w:ascii="Arial" w:eastAsia="PMingLiU" w:hAnsi="Arial" w:cs="Arial"/>
                <w:b/>
                <w:lang w:eastAsia="zh-TW"/>
              </w:rPr>
              <w:t>Beneficjent (operator) w okresie realizacji projektu prowadzi biuro projektu (lub posiada siedzibę, filię, delegaturę, oddział czy inną prawnie dozwoloną formę organizacyjną działalności podmiotu) na terenie jednego wybranego subregionu województwa podkarpackiego, w którym realizuje projekt, z możliwością udostępnienia pełnej dokumentacji wdrażanego projektu oraz zapewniające uczestnikom projektu możliwość osobistego kontaktu z kadrą projektu</w:t>
            </w:r>
          </w:p>
        </w:tc>
        <w:tc>
          <w:tcPr>
            <w:tcW w:w="6159" w:type="dxa"/>
            <w:tcBorders>
              <w:bottom w:val="single" w:sz="4" w:space="0" w:color="auto"/>
            </w:tcBorders>
          </w:tcPr>
          <w:p w:rsidR="00CF1538" w:rsidRPr="004A149C" w:rsidRDefault="00CF1538" w:rsidP="007566C4">
            <w:pPr>
              <w:spacing w:after="0" w:line="240" w:lineRule="auto"/>
              <w:jc w:val="both"/>
              <w:rPr>
                <w:rFonts w:ascii="Arial" w:eastAsia="PMingLiU" w:hAnsi="Arial" w:cs="Arial"/>
                <w:lang w:eastAsia="zh-TW"/>
              </w:rPr>
            </w:pPr>
            <w:r w:rsidRPr="004A149C">
              <w:rPr>
                <w:rFonts w:ascii="Arial" w:eastAsia="PMingLiU" w:hAnsi="Arial" w:cs="Arial"/>
                <w:lang w:eastAsia="zh-TW"/>
              </w:rPr>
              <w:t xml:space="preserve">Zlokalizowanie biura projektu na terenie województwa podkarpackiego jest uzasadnione regionalnym charakterem wsparcia oraz wynika z konieczności stałego reagowania beneficjentów (operatorów) na dynamicznie zmieniającą się sytuację regionalnej gospodarce, a także zapewnienia odpowiedniej bliskości zespołu projektowego do problemów napotykanych przez uczestników projektu i ścisłą współpracę zespołu projektowego z Instytucją Pośredniczącą i partnerami lokalnymi, umożliwiając realizację zasady rozwoju lokalnego. Umieszczenie ośrodka administrującego projektem na terenie subregionu, w którym projekt będzie realizowany, ułatwi zarządzanie projektem (przede wszystkim jego zakresem, ryzykiem i komunikacją), </w:t>
            </w:r>
            <w:r w:rsidRPr="004A149C">
              <w:rPr>
                <w:rFonts w:ascii="Arial" w:eastAsia="PMingLiU" w:hAnsi="Arial" w:cs="Arial"/>
                <w:lang w:eastAsia="zh-TW"/>
              </w:rPr>
              <w:lastRenderedPageBreak/>
              <w:t>a tym samym zwiększy skuteczność działań realizowanych na rzecz rozwoju zasobów ludzkich w regionie.</w:t>
            </w:r>
          </w:p>
          <w:p w:rsidR="00CF1538" w:rsidRPr="004A149C" w:rsidRDefault="00CF1538" w:rsidP="007566C4">
            <w:pPr>
              <w:spacing w:after="0" w:line="240" w:lineRule="auto"/>
              <w:jc w:val="both"/>
              <w:rPr>
                <w:rFonts w:ascii="Arial" w:eastAsia="PMingLiU" w:hAnsi="Arial" w:cs="Arial"/>
                <w:lang w:eastAsia="zh-TW"/>
              </w:rPr>
            </w:pPr>
          </w:p>
          <w:p w:rsidR="00CF1538" w:rsidRPr="004A149C" w:rsidRDefault="00CF1538" w:rsidP="007566C4">
            <w:pPr>
              <w:spacing w:line="240" w:lineRule="auto"/>
              <w:jc w:val="both"/>
              <w:rPr>
                <w:rFonts w:ascii="Arial" w:eastAsia="PMingLiU" w:hAnsi="Arial" w:cs="Arial"/>
                <w:lang w:eastAsia="zh-TW"/>
              </w:rPr>
            </w:pPr>
            <w:r w:rsidRPr="004A149C">
              <w:rPr>
                <w:rFonts w:ascii="Arial" w:eastAsia="PMingLiU" w:hAnsi="Arial" w:cs="Arial"/>
                <w:lang w:eastAsia="zh-TW"/>
              </w:rPr>
              <w:t>Weryfikacja spełnienia kryterium będzie odbywać się na podstawie treści wniosku o dofinansowanie projektu. Zaleca się, aby zapisy świadczące o spełnieniu niniejszego kryterium zostały zawarte w punkcie 4.5 wniosku.</w:t>
            </w:r>
          </w:p>
          <w:p w:rsidR="00CF1538" w:rsidRPr="004A149C" w:rsidRDefault="00CF1538" w:rsidP="007566C4">
            <w:pPr>
              <w:spacing w:after="0" w:line="240" w:lineRule="auto"/>
              <w:jc w:val="both"/>
              <w:rPr>
                <w:rFonts w:ascii="Arial" w:eastAsia="PMingLiU" w:hAnsi="Arial" w:cs="Arial"/>
                <w:lang w:eastAsia="zh-TW"/>
              </w:rPr>
            </w:pPr>
          </w:p>
        </w:tc>
        <w:tc>
          <w:tcPr>
            <w:tcW w:w="2781" w:type="dxa"/>
            <w:tcBorders>
              <w:bottom w:val="single" w:sz="4" w:space="0" w:color="auto"/>
            </w:tcBorders>
            <w:vAlign w:val="center"/>
          </w:tcPr>
          <w:p w:rsidR="00CF1538" w:rsidRPr="004A149C" w:rsidRDefault="00CF1538" w:rsidP="007566C4">
            <w:pPr>
              <w:spacing w:after="0" w:line="240" w:lineRule="auto"/>
              <w:jc w:val="center"/>
              <w:rPr>
                <w:rFonts w:ascii="Arial" w:eastAsia="PMingLiU" w:hAnsi="Arial" w:cs="Arial"/>
                <w:b/>
                <w:lang w:eastAsia="zh-TW"/>
              </w:rPr>
            </w:pPr>
            <w:r w:rsidRPr="004A149C">
              <w:rPr>
                <w:rFonts w:ascii="Arial" w:eastAsia="PMingLiU" w:hAnsi="Arial" w:cs="Arial"/>
                <w:b/>
                <w:lang w:eastAsia="zh-TW"/>
              </w:rPr>
              <w:lastRenderedPageBreak/>
              <w:t>TAK/ NIE</w:t>
            </w:r>
          </w:p>
          <w:p w:rsidR="00CF1538" w:rsidRPr="004A149C" w:rsidRDefault="00CF1538" w:rsidP="007566C4">
            <w:pPr>
              <w:spacing w:after="0" w:line="240" w:lineRule="auto"/>
              <w:jc w:val="center"/>
              <w:rPr>
                <w:rFonts w:ascii="Arial" w:eastAsia="PMingLiU" w:hAnsi="Arial" w:cs="Arial"/>
                <w:b/>
                <w:lang w:eastAsia="zh-TW"/>
              </w:rPr>
            </w:pPr>
          </w:p>
          <w:p w:rsidR="00CF1538" w:rsidRPr="000042A1" w:rsidRDefault="00CF1538" w:rsidP="007566C4">
            <w:pPr>
              <w:spacing w:after="0" w:line="240" w:lineRule="auto"/>
              <w:jc w:val="center"/>
              <w:rPr>
                <w:rFonts w:ascii="Arial" w:eastAsia="PMingLiU" w:hAnsi="Arial" w:cs="Arial"/>
                <w:lang w:eastAsia="zh-TW"/>
              </w:rPr>
            </w:pPr>
            <w:r w:rsidRPr="000042A1">
              <w:rPr>
                <w:rFonts w:ascii="Arial" w:eastAsia="PMingLiU" w:hAnsi="Arial" w:cs="Arial"/>
                <w:lang w:eastAsia="zh-TW"/>
              </w:rPr>
              <w:t>Niespełnienie kryterium skutkuje odrzuceniem wniosku</w:t>
            </w:r>
          </w:p>
        </w:tc>
      </w:tr>
    </w:tbl>
    <w:p w:rsidR="00F9574E" w:rsidRDefault="00F9574E"/>
    <w:sectPr w:rsidR="00F9574E" w:rsidSect="00EF6A43">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0C4" w:rsidRDefault="00AD00C4" w:rsidP="00EF6A43">
      <w:pPr>
        <w:spacing w:after="0" w:line="240" w:lineRule="auto"/>
      </w:pPr>
      <w:r>
        <w:separator/>
      </w:r>
    </w:p>
  </w:endnote>
  <w:endnote w:type="continuationSeparator" w:id="0">
    <w:p w:rsidR="00AD00C4" w:rsidRDefault="00AD00C4" w:rsidP="00EF6A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0C4" w:rsidRDefault="00AD00C4" w:rsidP="00EF6A43">
      <w:pPr>
        <w:spacing w:after="0" w:line="240" w:lineRule="auto"/>
      </w:pPr>
      <w:r>
        <w:separator/>
      </w:r>
    </w:p>
  </w:footnote>
  <w:footnote w:type="continuationSeparator" w:id="0">
    <w:p w:rsidR="00AD00C4" w:rsidRDefault="00AD00C4" w:rsidP="00EF6A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A43" w:rsidRDefault="00EF6A43" w:rsidP="00EF6A43">
    <w:pPr>
      <w:pStyle w:val="Nagwek"/>
      <w:jc w:val="center"/>
    </w:pPr>
    <w:r>
      <w:rPr>
        <w:noProof/>
        <w:lang w:eastAsia="pl-PL"/>
      </w:rPr>
      <w:drawing>
        <wp:inline distT="0" distB="0" distL="0" distR="0">
          <wp:extent cx="5763895" cy="749935"/>
          <wp:effectExtent l="0" t="0" r="0" b="0"/>
          <wp:docPr id="1" name="Obraz 13" descr="C:\Users\w.rejman\Desktop\kol p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Users\w.rejman\Desktop\kol poz.png"/>
                  <pic:cNvPicPr>
                    <a:picLocks noChangeAspect="1" noChangeArrowheads="1"/>
                  </pic:cNvPicPr>
                </pic:nvPicPr>
                <pic:blipFill>
                  <a:blip r:embed="rId1"/>
                  <a:srcRect/>
                  <a:stretch>
                    <a:fillRect/>
                  </a:stretch>
                </pic:blipFill>
                <pic:spPr bwMode="auto">
                  <a:xfrm>
                    <a:off x="0" y="0"/>
                    <a:ext cx="5763895" cy="74993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FC0"/>
    <w:multiLevelType w:val="hybridMultilevel"/>
    <w:tmpl w:val="AD227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E5276FD"/>
    <w:multiLevelType w:val="multilevel"/>
    <w:tmpl w:val="0B728DE2"/>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0"/>
        </w:tabs>
        <w:ind w:left="0" w:firstLine="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
    <w:nsid w:val="64236411"/>
    <w:multiLevelType w:val="hybridMultilevel"/>
    <w:tmpl w:val="A2B6C3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368367B"/>
    <w:multiLevelType w:val="hybridMultilevel"/>
    <w:tmpl w:val="B6240902"/>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F6A43"/>
    <w:rsid w:val="0005210B"/>
    <w:rsid w:val="00070C8F"/>
    <w:rsid w:val="002F376A"/>
    <w:rsid w:val="00304F8A"/>
    <w:rsid w:val="007A4B66"/>
    <w:rsid w:val="00AD00C4"/>
    <w:rsid w:val="00CF1538"/>
    <w:rsid w:val="00EF6A43"/>
    <w:rsid w:val="00F957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574E"/>
  </w:style>
  <w:style w:type="paragraph" w:styleId="Nagwek2">
    <w:name w:val="heading 2"/>
    <w:basedOn w:val="Normalny"/>
    <w:next w:val="Normalny"/>
    <w:link w:val="Nagwek2Znak"/>
    <w:qFormat/>
    <w:rsid w:val="00CF1538"/>
    <w:pPr>
      <w:keepNext/>
      <w:numPr>
        <w:ilvl w:val="1"/>
        <w:numId w:val="1"/>
      </w:numPr>
      <w:spacing w:before="240" w:after="60" w:line="360" w:lineRule="auto"/>
      <w:jc w:val="center"/>
      <w:outlineLvl w:val="1"/>
    </w:pPr>
    <w:rPr>
      <w:rFonts w:ascii="Arial" w:eastAsia="Times New Roman" w:hAnsi="Arial" w:cs="Times New Roman"/>
      <w:b/>
      <w:bCs/>
      <w:i/>
      <w:iCs/>
      <w:sz w:val="20"/>
      <w:szCs w:val="28"/>
      <w:lang w:eastAsia="pl-PL"/>
    </w:rPr>
  </w:style>
  <w:style w:type="paragraph" w:styleId="Nagwek3">
    <w:name w:val="heading 3"/>
    <w:basedOn w:val="Normalny"/>
    <w:next w:val="Normalny"/>
    <w:link w:val="Nagwek3Znak"/>
    <w:qFormat/>
    <w:rsid w:val="00CF1538"/>
    <w:pPr>
      <w:keepNext/>
      <w:numPr>
        <w:ilvl w:val="2"/>
        <w:numId w:val="1"/>
      </w:numPr>
      <w:spacing w:before="240" w:after="60" w:line="360" w:lineRule="auto"/>
      <w:jc w:val="center"/>
      <w:outlineLvl w:val="2"/>
    </w:pPr>
    <w:rPr>
      <w:rFonts w:ascii="Arial" w:eastAsia="Times New Roman" w:hAnsi="Arial" w:cs="Times New Roman"/>
      <w:b/>
      <w:bCs/>
      <w:sz w:val="26"/>
      <w:szCs w:val="26"/>
      <w:lang w:eastAsia="pl-PL"/>
    </w:rPr>
  </w:style>
  <w:style w:type="paragraph" w:styleId="Nagwek4">
    <w:name w:val="heading 4"/>
    <w:basedOn w:val="Normalny"/>
    <w:next w:val="Normalny"/>
    <w:link w:val="Nagwek4Znak"/>
    <w:qFormat/>
    <w:rsid w:val="00CF1538"/>
    <w:pPr>
      <w:keepNext/>
      <w:numPr>
        <w:ilvl w:val="3"/>
        <w:numId w:val="1"/>
      </w:numPr>
      <w:spacing w:before="240" w:after="60" w:line="360" w:lineRule="auto"/>
      <w:jc w:val="both"/>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CF1538"/>
    <w:pPr>
      <w:numPr>
        <w:ilvl w:val="4"/>
        <w:numId w:val="1"/>
      </w:numPr>
      <w:spacing w:before="240" w:after="60" w:line="360" w:lineRule="auto"/>
      <w:jc w:val="both"/>
      <w:outlineLvl w:val="4"/>
    </w:pPr>
    <w:rPr>
      <w:rFonts w:ascii="Arial" w:eastAsia="Times New Roman" w:hAnsi="Arial" w:cs="Times New Roman"/>
      <w:b/>
      <w:bCs/>
      <w:i/>
      <w:iCs/>
      <w:sz w:val="26"/>
      <w:szCs w:val="26"/>
      <w:lang w:eastAsia="pl-PL"/>
    </w:rPr>
  </w:style>
  <w:style w:type="paragraph" w:styleId="Nagwek6">
    <w:name w:val="heading 6"/>
    <w:basedOn w:val="Normalny"/>
    <w:next w:val="Normalny"/>
    <w:link w:val="Nagwek6Znak"/>
    <w:qFormat/>
    <w:rsid w:val="00CF1538"/>
    <w:pPr>
      <w:numPr>
        <w:ilvl w:val="5"/>
        <w:numId w:val="1"/>
      </w:numPr>
      <w:spacing w:before="240" w:after="60" w:line="360" w:lineRule="auto"/>
      <w:jc w:val="both"/>
      <w:outlineLvl w:val="5"/>
    </w:pPr>
    <w:rPr>
      <w:rFonts w:ascii="Times New Roman" w:eastAsia="Times New Roman" w:hAnsi="Times New Roman" w:cs="Times New Roman"/>
      <w:b/>
      <w:bCs/>
      <w:sz w:val="20"/>
      <w:szCs w:val="20"/>
      <w:lang w:eastAsia="pl-PL"/>
    </w:rPr>
  </w:style>
  <w:style w:type="paragraph" w:styleId="Nagwek7">
    <w:name w:val="heading 7"/>
    <w:basedOn w:val="Normalny"/>
    <w:next w:val="Normalny"/>
    <w:link w:val="Nagwek7Znak"/>
    <w:qFormat/>
    <w:rsid w:val="00CF1538"/>
    <w:pPr>
      <w:numPr>
        <w:ilvl w:val="6"/>
        <w:numId w:val="1"/>
      </w:numPr>
      <w:spacing w:before="240" w:after="60" w:line="360" w:lineRule="auto"/>
      <w:jc w:val="both"/>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CF1538"/>
    <w:pPr>
      <w:numPr>
        <w:ilvl w:val="7"/>
        <w:numId w:val="1"/>
      </w:numPr>
      <w:spacing w:before="240" w:after="60" w:line="360" w:lineRule="auto"/>
      <w:jc w:val="both"/>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F1538"/>
    <w:pPr>
      <w:numPr>
        <w:ilvl w:val="8"/>
        <w:numId w:val="1"/>
      </w:numPr>
      <w:spacing w:before="240" w:after="60" w:line="360" w:lineRule="auto"/>
      <w:jc w:val="both"/>
      <w:outlineLvl w:val="8"/>
    </w:pPr>
    <w:rPr>
      <w:rFonts w:ascii="Arial" w:eastAsia="Times New Roman" w:hAnsi="Arial"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EF6A43"/>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semiHidden/>
    <w:rsid w:val="00EF6A43"/>
    <w:rPr>
      <w:rFonts w:ascii="Times New Roman" w:eastAsia="Times New Roman" w:hAnsi="Times New Roman" w:cs="Times New Roman"/>
      <w:sz w:val="24"/>
      <w:szCs w:val="24"/>
    </w:rPr>
  </w:style>
  <w:style w:type="paragraph" w:styleId="Nagwek">
    <w:name w:val="header"/>
    <w:basedOn w:val="Normalny"/>
    <w:link w:val="NagwekZnak"/>
    <w:uiPriority w:val="99"/>
    <w:semiHidden/>
    <w:unhideWhenUsed/>
    <w:rsid w:val="00EF6A4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F6A43"/>
  </w:style>
  <w:style w:type="paragraph" w:styleId="Stopka">
    <w:name w:val="footer"/>
    <w:basedOn w:val="Normalny"/>
    <w:link w:val="StopkaZnak"/>
    <w:uiPriority w:val="99"/>
    <w:semiHidden/>
    <w:unhideWhenUsed/>
    <w:rsid w:val="00EF6A4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F6A43"/>
  </w:style>
  <w:style w:type="paragraph" w:styleId="Tekstdymka">
    <w:name w:val="Balloon Text"/>
    <w:basedOn w:val="Normalny"/>
    <w:link w:val="TekstdymkaZnak"/>
    <w:uiPriority w:val="99"/>
    <w:semiHidden/>
    <w:unhideWhenUsed/>
    <w:rsid w:val="00EF6A4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6A43"/>
    <w:rPr>
      <w:rFonts w:ascii="Tahoma" w:hAnsi="Tahoma" w:cs="Tahoma"/>
      <w:sz w:val="16"/>
      <w:szCs w:val="16"/>
    </w:rPr>
  </w:style>
  <w:style w:type="character" w:customStyle="1" w:styleId="Nagwek2Znak">
    <w:name w:val="Nagłówek 2 Znak"/>
    <w:basedOn w:val="Domylnaczcionkaakapitu"/>
    <w:link w:val="Nagwek2"/>
    <w:rsid w:val="00CF1538"/>
    <w:rPr>
      <w:rFonts w:ascii="Arial" w:eastAsia="Times New Roman" w:hAnsi="Arial" w:cs="Times New Roman"/>
      <w:b/>
      <w:bCs/>
      <w:i/>
      <w:iCs/>
      <w:sz w:val="20"/>
      <w:szCs w:val="28"/>
      <w:lang w:eastAsia="pl-PL"/>
    </w:rPr>
  </w:style>
  <w:style w:type="character" w:customStyle="1" w:styleId="Nagwek3Znak">
    <w:name w:val="Nagłówek 3 Znak"/>
    <w:basedOn w:val="Domylnaczcionkaakapitu"/>
    <w:link w:val="Nagwek3"/>
    <w:rsid w:val="00CF1538"/>
    <w:rPr>
      <w:rFonts w:ascii="Arial" w:eastAsia="Times New Roman" w:hAnsi="Arial" w:cs="Times New Roman"/>
      <w:b/>
      <w:bCs/>
      <w:sz w:val="26"/>
      <w:szCs w:val="26"/>
      <w:lang w:eastAsia="pl-PL"/>
    </w:rPr>
  </w:style>
  <w:style w:type="character" w:customStyle="1" w:styleId="Nagwek4Znak">
    <w:name w:val="Nagłówek 4 Znak"/>
    <w:basedOn w:val="Domylnaczcionkaakapitu"/>
    <w:link w:val="Nagwek4"/>
    <w:rsid w:val="00CF1538"/>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CF1538"/>
    <w:rPr>
      <w:rFonts w:ascii="Arial" w:eastAsia="Times New Roman" w:hAnsi="Arial" w:cs="Times New Roman"/>
      <w:b/>
      <w:bCs/>
      <w:i/>
      <w:iCs/>
      <w:sz w:val="26"/>
      <w:szCs w:val="26"/>
      <w:lang w:eastAsia="pl-PL"/>
    </w:rPr>
  </w:style>
  <w:style w:type="character" w:customStyle="1" w:styleId="Nagwek6Znak">
    <w:name w:val="Nagłówek 6 Znak"/>
    <w:basedOn w:val="Domylnaczcionkaakapitu"/>
    <w:link w:val="Nagwek6"/>
    <w:rsid w:val="00CF1538"/>
    <w:rPr>
      <w:rFonts w:ascii="Times New Roman" w:eastAsia="Times New Roman" w:hAnsi="Times New Roman" w:cs="Times New Roman"/>
      <w:b/>
      <w:bCs/>
      <w:sz w:val="20"/>
      <w:szCs w:val="20"/>
      <w:lang w:eastAsia="pl-PL"/>
    </w:rPr>
  </w:style>
  <w:style w:type="character" w:customStyle="1" w:styleId="Nagwek7Znak">
    <w:name w:val="Nagłówek 7 Znak"/>
    <w:basedOn w:val="Domylnaczcionkaakapitu"/>
    <w:link w:val="Nagwek7"/>
    <w:rsid w:val="00CF153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CF153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F1538"/>
    <w:rPr>
      <w:rFonts w:ascii="Arial" w:eastAsia="Times New Roman" w:hAnsi="Arial"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2388</Words>
  <Characters>14331</Characters>
  <Application>Microsoft Office Word</Application>
  <DocSecurity>0</DocSecurity>
  <Lines>119</Lines>
  <Paragraphs>33</Paragraphs>
  <ScaleCrop>false</ScaleCrop>
  <Company>UMWP</Company>
  <LinksUpToDate>false</LinksUpToDate>
  <CharactersWithSpaces>16686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a.maciaszek</dc:creator>
  <cp:keywords/>
  <dc:description/>
  <cp:lastModifiedBy>b.drzal</cp:lastModifiedBy>
  <cp:revision>2</cp:revision>
  <dcterms:created xsi:type="dcterms:W3CDTF">2016-05-12T07:34:00Z</dcterms:created>
  <dcterms:modified xsi:type="dcterms:W3CDTF">2016-05-12T07:34:00Z</dcterms:modified>
</cp:coreProperties>
</file>